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26B9" w:rsidRPr="00C15237" w:rsidRDefault="000626B9" w:rsidP="000626B9">
      <w:pPr>
        <w:rPr>
          <w:b/>
          <w:bCs/>
          <w:color w:val="1F497D" w:themeColor="text2"/>
          <w:sz w:val="48"/>
          <w:szCs w:val="48"/>
        </w:rPr>
      </w:pPr>
      <w:r w:rsidRPr="00C15237">
        <w:rPr>
          <w:b/>
          <w:bCs/>
          <w:color w:val="1F497D" w:themeColor="text2"/>
          <w:sz w:val="48"/>
          <w:szCs w:val="48"/>
        </w:rPr>
        <w:t>Medical Workforce</w:t>
      </w:r>
    </w:p>
    <w:p w:rsidR="000626B9" w:rsidRPr="00C15237" w:rsidRDefault="000626B9" w:rsidP="000626B9">
      <w:pPr>
        <w:spacing w:before="120"/>
        <w:rPr>
          <w:b/>
          <w:color w:val="1F497D" w:themeColor="text2"/>
          <w:sz w:val="48"/>
          <w:szCs w:val="48"/>
          <w14:textOutline w14:w="5080" w14:cap="flat" w14:cmpd="sng" w14:algn="ctr">
            <w14:noFill/>
            <w14:prstDash w14:val="solid"/>
            <w14:round/>
          </w14:textOutline>
        </w:rPr>
      </w:pPr>
      <w:r w:rsidRPr="00C15237">
        <w:rPr>
          <w:color w:val="1F497D" w:themeColor="text2"/>
          <w:sz w:val="30"/>
          <w:szCs w:val="30"/>
          <w14:textOutline w14:w="5080" w14:cap="flat" w14:cmpd="sng" w14:algn="ctr">
            <w14:noFill/>
            <w14:prstDash w14:val="solid"/>
            <w14:round/>
          </w14:textOutline>
        </w:rPr>
        <w:t>2016 Factsheet</w:t>
      </w:r>
    </w:p>
    <w:p w:rsidR="00476479" w:rsidRPr="00EC676E" w:rsidRDefault="00476479" w:rsidP="0003766D">
      <w:pPr>
        <w:pStyle w:val="Heading1"/>
        <w:spacing w:before="360"/>
        <w:ind w:left="0"/>
        <w:rPr>
          <w:rFonts w:ascii="Times New Roman" w:hAnsi="Times New Roman" w:cs="Times New Roman"/>
          <w:sz w:val="28"/>
          <w:szCs w:val="24"/>
        </w:rPr>
      </w:pPr>
      <w:r w:rsidRPr="00EC676E">
        <w:rPr>
          <w:rFonts w:ascii="Times New Roman" w:hAnsi="Times New Roman" w:cs="Times New Roman"/>
          <w:sz w:val="28"/>
          <w:szCs w:val="24"/>
        </w:rPr>
        <w:t>Medical Registration</w:t>
      </w:r>
    </w:p>
    <w:p w:rsidR="00361558" w:rsidRPr="004323BD" w:rsidRDefault="00361558" w:rsidP="00361558">
      <w:pPr>
        <w:spacing w:before="80" w:after="80"/>
        <w:jc w:val="both"/>
        <w:rPr>
          <w:szCs w:val="18"/>
        </w:rPr>
      </w:pPr>
      <w:r w:rsidRPr="004323BD">
        <w:rPr>
          <w:szCs w:val="18"/>
        </w:rPr>
        <w:t>The Medical Board of Australia is responsible for regulating medical practitioners practising in Australia.  Australian doctors seeking to practise medicine in Australia must be registered with the Medical Board.  There is a range of different </w:t>
      </w:r>
      <w:hyperlink r:id="rId9" w:history="1">
        <w:r w:rsidRPr="004323BD">
          <w:rPr>
            <w:szCs w:val="18"/>
          </w:rPr>
          <w:t>types of registration</w:t>
        </w:r>
      </w:hyperlink>
      <w:r w:rsidRPr="004323BD">
        <w:rPr>
          <w:szCs w:val="18"/>
        </w:rPr>
        <w:t xml:space="preserve"> to match different levels of training and experience.  </w:t>
      </w:r>
    </w:p>
    <w:p w:rsidR="00361558" w:rsidRPr="004323BD" w:rsidRDefault="00361558" w:rsidP="00361558">
      <w:pPr>
        <w:spacing w:before="80" w:after="80"/>
        <w:jc w:val="both"/>
        <w:rPr>
          <w:szCs w:val="18"/>
        </w:rPr>
      </w:pPr>
      <w:r w:rsidRPr="004323BD">
        <w:rPr>
          <w:szCs w:val="18"/>
        </w:rPr>
        <w:t>In 2016, 106,634 medical practitioners were registered in Australia.  Of these, 5,564 were provisionally registered (applies to persons required to complete a period of approved supervised practice to become eligible for general registration), 98,374 held general and/or specialist registration, and a further 2,696 held non-practising registrations.</w:t>
      </w:r>
      <w:r w:rsidR="00C662AD">
        <w:rPr>
          <w:szCs w:val="18"/>
        </w:rPr>
        <w:t xml:space="preserve"> </w:t>
      </w:r>
    </w:p>
    <w:p w:rsidR="00BF0629" w:rsidRPr="0003766D" w:rsidRDefault="00BF0629"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Work Status</w:t>
      </w:r>
    </w:p>
    <w:p w:rsidR="00361558" w:rsidRPr="004323BD" w:rsidRDefault="00361558" w:rsidP="004323BD">
      <w:pPr>
        <w:spacing w:before="80" w:after="80"/>
        <w:jc w:val="both"/>
        <w:rPr>
          <w:szCs w:val="18"/>
        </w:rPr>
      </w:pPr>
      <w:r w:rsidRPr="004323BD">
        <w:rPr>
          <w:szCs w:val="18"/>
        </w:rPr>
        <w:t>Of those who held general and/or specialist registration, 93,773 were employed in the medical labour workforce in 2016.  Of these, 91,341 (97.4 per cent) were employed in medicine.</w:t>
      </w:r>
    </w:p>
    <w:p w:rsidR="00EC676E" w:rsidRPr="0003766D" w:rsidRDefault="00EC676E"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Job Role</w:t>
      </w:r>
    </w:p>
    <w:p w:rsidR="00361558" w:rsidRPr="004323BD" w:rsidRDefault="00361558" w:rsidP="004323BD">
      <w:pPr>
        <w:spacing w:before="80" w:after="80"/>
        <w:jc w:val="both"/>
        <w:rPr>
          <w:szCs w:val="18"/>
        </w:rPr>
      </w:pPr>
      <w:r w:rsidRPr="004323BD">
        <w:rPr>
          <w:szCs w:val="18"/>
        </w:rPr>
        <w:t>Of the 91,341 general and/or specialist registrants who were employed in medicine, 86,550 (94.8 per cent) were employed as clinicians, which are medical practitioners who spend the majority of working hours engaged in clinical practice (the diagnosis and/or treatment of patients). Non-clinicians made up the remaining 5.2 per cent (4,791). This category includes administrators (1,444), teachers and/or educators (1,029), researchers (1,296) and other (1,022).</w:t>
      </w:r>
    </w:p>
    <w:p w:rsidR="00E207F5" w:rsidRPr="0003766D" w:rsidRDefault="00E207F5"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 xml:space="preserve">Number of Practitioners </w:t>
      </w:r>
      <w:r w:rsidR="00D214C7" w:rsidRPr="0003766D">
        <w:rPr>
          <w:rFonts w:ascii="Times New Roman" w:hAnsi="Times New Roman" w:cs="Times New Roman"/>
          <w:sz w:val="24"/>
          <w:szCs w:val="24"/>
        </w:rPr>
        <w:t xml:space="preserve">- </w:t>
      </w:r>
      <w:r w:rsidRPr="0003766D">
        <w:rPr>
          <w:rFonts w:ascii="Times New Roman" w:hAnsi="Times New Roman" w:cs="Times New Roman"/>
          <w:sz w:val="24"/>
          <w:szCs w:val="24"/>
        </w:rPr>
        <w:t>2013 to 2016</w:t>
      </w:r>
    </w:p>
    <w:p w:rsidR="004323BD" w:rsidRPr="004323BD" w:rsidRDefault="004323BD" w:rsidP="004323BD">
      <w:pPr>
        <w:spacing w:before="80" w:after="80"/>
        <w:jc w:val="both"/>
        <w:rPr>
          <w:szCs w:val="18"/>
        </w:rPr>
      </w:pPr>
      <w:r w:rsidRPr="004323BD">
        <w:rPr>
          <w:szCs w:val="18"/>
        </w:rPr>
        <w:t>Between 2013 and 2016, the total number of clinicians increased by a headcount of 8,576, and the Full Time Equivalent (FTE), increased by 8,226.5, with 1.0 equivalent to a full-time worker. Over this same period, the number of non-clinicians increased by a headcount of 357, and the FTE by 245.</w:t>
      </w:r>
    </w:p>
    <w:p w:rsidR="003723C9" w:rsidRPr="0003766D" w:rsidRDefault="003723C9"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Specialist</w:t>
      </w:r>
      <w:r w:rsidR="00CA6DB7" w:rsidRPr="0003766D">
        <w:rPr>
          <w:rFonts w:ascii="Times New Roman" w:hAnsi="Times New Roman" w:cs="Times New Roman"/>
          <w:sz w:val="24"/>
          <w:szCs w:val="24"/>
        </w:rPr>
        <w:t>s</w:t>
      </w:r>
    </w:p>
    <w:p w:rsidR="004323BD" w:rsidRPr="004323BD" w:rsidRDefault="004323BD" w:rsidP="004323BD">
      <w:pPr>
        <w:spacing w:before="80" w:after="80"/>
        <w:jc w:val="both"/>
        <w:rPr>
          <w:szCs w:val="18"/>
        </w:rPr>
      </w:pPr>
      <w:r w:rsidRPr="004323BD">
        <w:rPr>
          <w:szCs w:val="18"/>
        </w:rPr>
        <w:t>The 2016 National Health Workforce Data Set (NHWDS) medical workforce survey, which is conducted by the Australian Health Practitioner Regulation Agency (AHPRA), asks practitioners if they have a specialist registration and if so, which specialty field they worked the most hours in in the week prior to completing the survey. This is determined as their primary speciality.  In the 2016 survey, 23 specialties and 86 subspecialties were recognised by AHPRA.</w:t>
      </w:r>
    </w:p>
    <w:p w:rsidR="004323BD" w:rsidRDefault="004323BD" w:rsidP="004323BD">
      <w:pPr>
        <w:spacing w:before="80" w:after="80"/>
        <w:jc w:val="both"/>
        <w:rPr>
          <w:sz w:val="20"/>
          <w:szCs w:val="18"/>
        </w:rPr>
      </w:pPr>
      <w:r w:rsidRPr="004323BD">
        <w:rPr>
          <w:szCs w:val="18"/>
        </w:rPr>
        <w:t>Further in</w:t>
      </w:r>
      <w:r w:rsidR="00B55663">
        <w:rPr>
          <w:szCs w:val="18"/>
        </w:rPr>
        <w:t>formation on 36 medical special</w:t>
      </w:r>
      <w:r w:rsidRPr="004323BD">
        <w:rPr>
          <w:szCs w:val="18"/>
        </w:rPr>
        <w:t xml:space="preserve">ties is provided in fact sheets that accompany this document and is available via the NHWDS website at </w:t>
      </w:r>
      <w:hyperlink r:id="rId10" w:history="1">
        <w:r w:rsidRPr="004323BD">
          <w:rPr>
            <w:rStyle w:val="Hyperlink"/>
          </w:rPr>
          <w:t>http://data.hwa.gov.au</w:t>
        </w:r>
      </w:hyperlink>
      <w:r w:rsidRPr="004323BD">
        <w:t>.</w:t>
      </w:r>
    </w:p>
    <w:p w:rsidR="009D39F9" w:rsidRPr="0003766D" w:rsidRDefault="009D39F9"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International comparison</w:t>
      </w:r>
    </w:p>
    <w:p w:rsidR="004323BD" w:rsidRPr="004323BD" w:rsidRDefault="004323BD" w:rsidP="004323BD">
      <w:pPr>
        <w:spacing w:before="80" w:after="80"/>
        <w:jc w:val="both"/>
        <w:rPr>
          <w:szCs w:val="18"/>
        </w:rPr>
      </w:pPr>
      <w:r w:rsidRPr="004323BD">
        <w:rPr>
          <w:szCs w:val="18"/>
        </w:rPr>
        <w:t xml:space="preserve">The Organisation for Economic Co-operation and Development (OECD) produces a range of key indicators for international comparison to allow for examination of performance against the experiences of other OECD countries, one being the number of physicians (defined by OECD as registered and employed clinicians) per 1,000 population.  In 2015, Australia’s ratio of practising physicians was 3.52 per 1,000 population and was ranked eighth overall in comparison to other OECD countries.  </w:t>
      </w:r>
    </w:p>
    <w:p w:rsidR="0003766D" w:rsidRDefault="0003766D">
      <w:pPr>
        <w:rPr>
          <w:b/>
          <w:bCs/>
          <w:color w:val="1F497D" w:themeColor="text2"/>
          <w:kern w:val="28"/>
          <w:sz w:val="28"/>
          <w:szCs w:val="32"/>
        </w:rPr>
      </w:pPr>
      <w:r>
        <w:rPr>
          <w:sz w:val="28"/>
        </w:rPr>
        <w:br w:type="page"/>
      </w:r>
    </w:p>
    <w:p w:rsidR="004B69D5" w:rsidRPr="00EC676E" w:rsidRDefault="004B69D5" w:rsidP="0003766D">
      <w:pPr>
        <w:pStyle w:val="Heading1"/>
        <w:spacing w:before="0"/>
        <w:ind w:left="0"/>
        <w:rPr>
          <w:rFonts w:ascii="Times New Roman" w:hAnsi="Times New Roman" w:cs="Times New Roman"/>
          <w:sz w:val="28"/>
        </w:rPr>
      </w:pPr>
      <w:r w:rsidRPr="00EC676E">
        <w:rPr>
          <w:rFonts w:ascii="Times New Roman" w:hAnsi="Times New Roman" w:cs="Times New Roman"/>
          <w:sz w:val="28"/>
        </w:rPr>
        <w:lastRenderedPageBreak/>
        <w:t>Workforce Characteristics</w:t>
      </w:r>
    </w:p>
    <w:p w:rsidR="00EC676E" w:rsidRPr="0003766D" w:rsidRDefault="00EC676E" w:rsidP="0003766D">
      <w:pPr>
        <w:pStyle w:val="Heading1"/>
        <w:spacing w:before="240"/>
        <w:ind w:left="0"/>
        <w:rPr>
          <w:rFonts w:ascii="Times New Roman" w:hAnsi="Times New Roman" w:cs="Times New Roman"/>
          <w:i/>
          <w:sz w:val="24"/>
          <w:szCs w:val="24"/>
        </w:rPr>
      </w:pPr>
      <w:r w:rsidRPr="0003766D">
        <w:rPr>
          <w:rFonts w:ascii="Times New Roman" w:hAnsi="Times New Roman" w:cs="Times New Roman"/>
          <w:i/>
          <w:sz w:val="24"/>
          <w:szCs w:val="24"/>
        </w:rPr>
        <w:t>Age</w:t>
      </w:r>
    </w:p>
    <w:p w:rsidR="004323BD" w:rsidRPr="004323BD" w:rsidRDefault="004323BD" w:rsidP="004323BD">
      <w:pPr>
        <w:spacing w:before="80" w:after="80"/>
        <w:jc w:val="both"/>
        <w:rPr>
          <w:szCs w:val="18"/>
        </w:rPr>
      </w:pPr>
      <w:r w:rsidRPr="004323BD">
        <w:rPr>
          <w:szCs w:val="18"/>
        </w:rPr>
        <w:t xml:space="preserve">The average age of the medical workforce in 2016 was 45.9 years. The average age of males was 48.3, with 33.7 per cent of the male workforce aged 55 and over and 14.1 per cent aged 65 and over. The average age of females was 42.5, with 17.8 per cent of the female workforce aged 55 and over and 4.1 per cent aged 65 and over. </w:t>
      </w:r>
    </w:p>
    <w:p w:rsidR="004323BD" w:rsidRPr="004323BD" w:rsidRDefault="004323BD" w:rsidP="004323BD">
      <w:pPr>
        <w:spacing w:before="80" w:after="80"/>
        <w:jc w:val="both"/>
        <w:rPr>
          <w:szCs w:val="18"/>
        </w:rPr>
      </w:pPr>
      <w:r w:rsidRPr="004323BD">
        <w:rPr>
          <w:szCs w:val="18"/>
        </w:rPr>
        <w:t>Between 2013 and 2016, the female workforce has remained younger than the male workforce.</w:t>
      </w:r>
    </w:p>
    <w:p w:rsidR="004323BD" w:rsidRPr="004323BD" w:rsidRDefault="004323BD" w:rsidP="004323BD">
      <w:pPr>
        <w:spacing w:before="80" w:after="80"/>
        <w:jc w:val="both"/>
        <w:rPr>
          <w:szCs w:val="18"/>
        </w:rPr>
      </w:pPr>
      <w:r w:rsidRPr="004323BD">
        <w:rPr>
          <w:szCs w:val="18"/>
        </w:rPr>
        <w:t>Between 2013 and 2016 there was little variation in the workforce aged 34 and under with only a slight increase of one per cent, and a one per cent decrease in the workforce aged between 45 and 54. The 35-44 age group had the largest representation, with a headcount of 24,836 (27.2 per cent of the workforce).</w:t>
      </w:r>
    </w:p>
    <w:p w:rsidR="004323BD" w:rsidRPr="004323BD" w:rsidRDefault="004323BD" w:rsidP="004323BD">
      <w:pPr>
        <w:spacing w:before="80" w:after="80"/>
        <w:jc w:val="both"/>
        <w:rPr>
          <w:szCs w:val="18"/>
        </w:rPr>
      </w:pPr>
      <w:r w:rsidRPr="004323BD">
        <w:rPr>
          <w:szCs w:val="18"/>
        </w:rPr>
        <w:t>All other age groups remained stable within this period.</w:t>
      </w:r>
    </w:p>
    <w:p w:rsidR="004323BD" w:rsidRPr="004323BD" w:rsidRDefault="004323BD" w:rsidP="004323BD">
      <w:pPr>
        <w:spacing w:before="80" w:after="80"/>
        <w:jc w:val="both"/>
        <w:rPr>
          <w:szCs w:val="18"/>
        </w:rPr>
      </w:pPr>
      <w:r w:rsidRPr="004323BD">
        <w:rPr>
          <w:szCs w:val="18"/>
        </w:rPr>
        <w:t>There were 936 registered and employed medical practitioners aged 25 and under in 2016, all were working as non-clinicians, Hospital Non-Specialists (HNS) or Specialists in Training.</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Gender</w:t>
      </w:r>
    </w:p>
    <w:p w:rsidR="004323BD" w:rsidRPr="006C7967" w:rsidRDefault="004323BD" w:rsidP="006C7967">
      <w:pPr>
        <w:spacing w:before="80" w:after="80"/>
        <w:jc w:val="both"/>
        <w:rPr>
          <w:szCs w:val="18"/>
        </w:rPr>
      </w:pPr>
      <w:bookmarkStart w:id="0" w:name="_Toc490478485"/>
      <w:r w:rsidRPr="006C7967">
        <w:rPr>
          <w:szCs w:val="18"/>
        </w:rPr>
        <w:t xml:space="preserve">The gap between males and females is decreasing; in 2013 38.5 per cent of the workforce was female compared to 40.7 per cent in 2016. </w:t>
      </w:r>
    </w:p>
    <w:p w:rsidR="004323BD" w:rsidRPr="006C7967" w:rsidRDefault="004323BD" w:rsidP="006C7967">
      <w:pPr>
        <w:spacing w:before="80" w:after="80"/>
        <w:jc w:val="both"/>
        <w:rPr>
          <w:szCs w:val="18"/>
        </w:rPr>
      </w:pPr>
      <w:r w:rsidRPr="006C7967">
        <w:rPr>
          <w:szCs w:val="18"/>
        </w:rPr>
        <w:t xml:space="preserve">The number of females aged 34 and under was greater (by six per cent) than males, increasing from a headcount of 9,286 to 11,126 between 2013 and 2016. For all other age groups, males make up a greater proportion of the workforce than females with the highest proportion occurring between ages 55-64 years (10,616 males compared to 5,090 females in 2016). </w:t>
      </w:r>
    </w:p>
    <w:p w:rsidR="004F20BE" w:rsidRPr="0003766D" w:rsidRDefault="004F20B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Working hours</w:t>
      </w:r>
    </w:p>
    <w:p w:rsidR="004323BD" w:rsidRPr="006C7967" w:rsidRDefault="004323BD" w:rsidP="006C7967">
      <w:pPr>
        <w:spacing w:before="80" w:after="80"/>
        <w:jc w:val="both"/>
        <w:rPr>
          <w:szCs w:val="18"/>
        </w:rPr>
      </w:pPr>
      <w:r w:rsidRPr="006C7967">
        <w:rPr>
          <w:szCs w:val="18"/>
        </w:rPr>
        <w:t>There was a slight decline in average hours worked from 2013 to 2016, from 42.9 hours per week to 42.4 hours per week. In 2016, males worked an average of 44.9 hours per week and females worked on average 38.8 hours per week.</w:t>
      </w:r>
    </w:p>
    <w:p w:rsidR="004B69D5" w:rsidRPr="0003766D" w:rsidRDefault="004B69D5"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Job sector</w:t>
      </w:r>
      <w:bookmarkEnd w:id="0"/>
    </w:p>
    <w:p w:rsidR="004323BD" w:rsidRPr="006C7967" w:rsidRDefault="004323BD" w:rsidP="006C7967">
      <w:pPr>
        <w:spacing w:before="80" w:after="80"/>
        <w:jc w:val="both"/>
        <w:rPr>
          <w:szCs w:val="18"/>
        </w:rPr>
      </w:pPr>
      <w:bookmarkStart w:id="1" w:name="_Toc487808907"/>
      <w:bookmarkStart w:id="2" w:name="_Toc489262069"/>
      <w:bookmarkStart w:id="3" w:name="_Toc490050177"/>
      <w:r w:rsidRPr="006C7967">
        <w:rPr>
          <w:szCs w:val="18"/>
        </w:rPr>
        <w:t xml:space="preserve">In 2016, 37.3 per cent (headcount of 34,076) of the medical </w:t>
      </w:r>
      <w:r w:rsidR="00B55663" w:rsidRPr="006C7967">
        <w:rPr>
          <w:szCs w:val="18"/>
        </w:rPr>
        <w:t>workforce</w:t>
      </w:r>
      <w:r w:rsidRPr="006C7967">
        <w:rPr>
          <w:szCs w:val="18"/>
        </w:rPr>
        <w:t xml:space="preserve"> worked only in the public sector, while 42.2 per cent (headcount of 38,559) worked only in the private sector. 18.6 per cent (headcount of 16,951) of the workforce worked in both sectors, and 1.9 per cent of survey participants recorded no response.</w:t>
      </w:r>
    </w:p>
    <w:p w:rsidR="004323BD" w:rsidRPr="006C7967" w:rsidRDefault="004323BD" w:rsidP="006C7967">
      <w:pPr>
        <w:spacing w:before="80" w:after="80"/>
        <w:jc w:val="both"/>
        <w:rPr>
          <w:szCs w:val="18"/>
        </w:rPr>
      </w:pPr>
      <w:r w:rsidRPr="006C7967">
        <w:rPr>
          <w:szCs w:val="18"/>
        </w:rPr>
        <w:t xml:space="preserve">The proportion of the medical workforce working only in the private sector increased by one percentage point (headcount of 4,606) between 2013 and 2016. </w:t>
      </w:r>
    </w:p>
    <w:p w:rsidR="004B69D5" w:rsidRPr="0003766D" w:rsidRDefault="004B69D5"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State and Territory</w:t>
      </w:r>
      <w:bookmarkEnd w:id="1"/>
      <w:bookmarkEnd w:id="2"/>
      <w:r w:rsidRPr="0003766D">
        <w:rPr>
          <w:rFonts w:ascii="Times New Roman" w:hAnsi="Times New Roman" w:cs="Times New Roman"/>
          <w:i/>
          <w:sz w:val="24"/>
          <w:szCs w:val="24"/>
        </w:rPr>
        <w:t xml:space="preserve"> distribution</w:t>
      </w:r>
      <w:bookmarkEnd w:id="3"/>
    </w:p>
    <w:p w:rsidR="004323BD" w:rsidRPr="006C7967" w:rsidRDefault="004323BD" w:rsidP="006C7967">
      <w:pPr>
        <w:spacing w:before="80" w:after="80"/>
        <w:jc w:val="both"/>
        <w:rPr>
          <w:szCs w:val="18"/>
        </w:rPr>
      </w:pPr>
      <w:r w:rsidRPr="006C7967">
        <w:rPr>
          <w:szCs w:val="18"/>
        </w:rPr>
        <w:t>The number of registered and employed medical practitioners across states and territories continues to reflect population size, with more than half (56.6 per cent) of the Workforce located in NSW and VIC in 2016.</w:t>
      </w:r>
    </w:p>
    <w:p w:rsidR="004323BD" w:rsidRPr="006C7967" w:rsidRDefault="004323BD" w:rsidP="006C7967">
      <w:pPr>
        <w:spacing w:before="80" w:after="80"/>
        <w:jc w:val="both"/>
        <w:rPr>
          <w:szCs w:val="18"/>
        </w:rPr>
      </w:pPr>
      <w:r w:rsidRPr="006C7967">
        <w:rPr>
          <w:szCs w:val="18"/>
        </w:rPr>
        <w:t>However, on the basis of the number of practitioners per 100,000 population, NT and ACT had the highest number of practitioners at 474.7 and 446.1 per 100,000 respectively, with the NT increasing by 61.7 practitioners per 100,000.  WA had the lowest number of practitioners at 353.5 per 100,000.  Overall, the number of practitioners per 100,000 population increased by 22.1 between 2013 and 2016.</w:t>
      </w:r>
    </w:p>
    <w:p w:rsidR="004323BD" w:rsidRPr="006C7967" w:rsidRDefault="004323BD" w:rsidP="006C7967">
      <w:pPr>
        <w:spacing w:before="80" w:after="80"/>
        <w:jc w:val="both"/>
        <w:rPr>
          <w:szCs w:val="18"/>
        </w:rPr>
      </w:pPr>
      <w:r w:rsidRPr="006C7967">
        <w:rPr>
          <w:szCs w:val="18"/>
        </w:rPr>
        <w:t>The average total hours worked was highest in NT at 43.9 and lowest in TAS at 41.6 hours per week.</w:t>
      </w:r>
      <w:r w:rsidR="00053532">
        <w:rPr>
          <w:szCs w:val="18"/>
        </w:rPr>
        <w:t xml:space="preserve"> The total average hours across Australia were 42.9 hours per week and the average age was 45.9 years.</w:t>
      </w:r>
    </w:p>
    <w:p w:rsidR="004B69D5" w:rsidRPr="0003766D" w:rsidRDefault="004B69D5" w:rsidP="0003766D">
      <w:pPr>
        <w:pStyle w:val="Heading1"/>
        <w:spacing w:before="200"/>
        <w:ind w:left="0"/>
        <w:rPr>
          <w:rFonts w:ascii="Times New Roman" w:hAnsi="Times New Roman" w:cs="Times New Roman"/>
          <w:i/>
          <w:sz w:val="24"/>
          <w:szCs w:val="24"/>
        </w:rPr>
      </w:pPr>
      <w:bookmarkStart w:id="4" w:name="_Toc477945179"/>
      <w:bookmarkStart w:id="5" w:name="_Toc487808908"/>
      <w:bookmarkStart w:id="6" w:name="_Toc489262070"/>
      <w:bookmarkStart w:id="7" w:name="_Toc490050178"/>
      <w:r w:rsidRPr="0003766D">
        <w:rPr>
          <w:rFonts w:ascii="Times New Roman" w:hAnsi="Times New Roman" w:cs="Times New Roman"/>
          <w:i/>
          <w:sz w:val="24"/>
          <w:szCs w:val="24"/>
        </w:rPr>
        <w:lastRenderedPageBreak/>
        <w:t>Remoteness Area</w:t>
      </w:r>
      <w:bookmarkEnd w:id="4"/>
      <w:bookmarkEnd w:id="5"/>
      <w:bookmarkEnd w:id="6"/>
      <w:r w:rsidRPr="0003766D">
        <w:rPr>
          <w:rFonts w:ascii="Times New Roman" w:hAnsi="Times New Roman" w:cs="Times New Roman"/>
          <w:i/>
          <w:sz w:val="24"/>
          <w:szCs w:val="24"/>
        </w:rPr>
        <w:t xml:space="preserve"> distribution</w:t>
      </w:r>
      <w:bookmarkEnd w:id="7"/>
    </w:p>
    <w:p w:rsidR="004323BD" w:rsidRPr="006C7967" w:rsidRDefault="004323BD" w:rsidP="006C7967">
      <w:pPr>
        <w:spacing w:before="80" w:after="80"/>
        <w:jc w:val="both"/>
        <w:rPr>
          <w:szCs w:val="18"/>
        </w:rPr>
      </w:pPr>
      <w:r w:rsidRPr="006C7967">
        <w:rPr>
          <w:szCs w:val="18"/>
        </w:rPr>
        <w:t>Remoteness Areas (RAs) make up the ASGC-RA (2006) classification system, which is a geographic classification system developed in 2001 by the Australian Bureau of Statistics (ABS), as a statistical geography structure which allows quantitative comparisons between 'city' and 'country' Australia.  RA groups include RA1 (major cities), RA2 (Inner Regional), RA3 (Outer Regional), RA4 (Remote) and RA5 (Very Remote).</w:t>
      </w:r>
    </w:p>
    <w:p w:rsidR="004323BD" w:rsidRPr="006C7967" w:rsidRDefault="004323BD" w:rsidP="006C7967">
      <w:pPr>
        <w:spacing w:before="80" w:after="80"/>
        <w:jc w:val="both"/>
        <w:rPr>
          <w:szCs w:val="18"/>
        </w:rPr>
      </w:pPr>
      <w:r w:rsidRPr="006C7967">
        <w:rPr>
          <w:szCs w:val="18"/>
        </w:rPr>
        <w:t xml:space="preserve">In 2016, 79.2 per cent of the workforce worked in major cities, 13.6 per cent in inner regional, 5.8 per cent in outer regional and 1.4 per cent in remote/very remote locations. </w:t>
      </w:r>
    </w:p>
    <w:p w:rsidR="004323BD" w:rsidRPr="006C7967" w:rsidRDefault="004323BD" w:rsidP="006C7967">
      <w:pPr>
        <w:spacing w:before="80" w:after="80"/>
        <w:jc w:val="both"/>
        <w:rPr>
          <w:szCs w:val="18"/>
        </w:rPr>
      </w:pPr>
      <w:r w:rsidRPr="006C7967">
        <w:rPr>
          <w:szCs w:val="18"/>
        </w:rPr>
        <w:t xml:space="preserve">Major cities had the highest number of practitioners per 100,000 population at 421.4 per 100,000. Very remote areas had the lowest number of practitioners at 185.8 per 100,000. </w:t>
      </w:r>
    </w:p>
    <w:p w:rsidR="004323BD" w:rsidRPr="006C7967" w:rsidRDefault="004323BD" w:rsidP="006C7967">
      <w:pPr>
        <w:spacing w:before="80" w:after="80"/>
        <w:jc w:val="both"/>
        <w:rPr>
          <w:szCs w:val="18"/>
        </w:rPr>
      </w:pPr>
      <w:r w:rsidRPr="006C7967">
        <w:rPr>
          <w:szCs w:val="18"/>
        </w:rPr>
        <w:t>The number of practitioners per 100,000 increased across all RAs between 2013 and 2016. This included an increase of 32.3 practitioners per 100,000 in very remote areas.</w:t>
      </w:r>
    </w:p>
    <w:p w:rsidR="00846800" w:rsidRPr="0003766D" w:rsidRDefault="00846800" w:rsidP="0003766D">
      <w:pPr>
        <w:spacing w:before="120" w:after="120"/>
        <w:ind w:right="-508"/>
      </w:pPr>
      <w:r w:rsidRPr="0003766D">
        <w:t xml:space="preserve">Further information on the Remoteness classification is available at </w:t>
      </w:r>
      <w:hyperlink r:id="rId11" w:history="1">
        <w:r w:rsidRPr="0003766D">
          <w:rPr>
            <w:rStyle w:val="Hyperlink"/>
          </w:rPr>
          <w:t>doctorconnect.gov.au</w:t>
        </w:r>
      </w:hyperlink>
    </w:p>
    <w:p w:rsidR="005E4750" w:rsidRPr="0003766D" w:rsidRDefault="005E4750" w:rsidP="00972B4A">
      <w:pPr>
        <w:pStyle w:val="Heading1"/>
        <w:spacing w:before="360"/>
        <w:ind w:left="0"/>
        <w:rPr>
          <w:rFonts w:ascii="Times New Roman" w:hAnsi="Times New Roman" w:cs="Times New Roman"/>
          <w:i/>
          <w:sz w:val="24"/>
          <w:szCs w:val="24"/>
        </w:rPr>
      </w:pPr>
      <w:bookmarkStart w:id="8" w:name="_Toc490050179"/>
      <w:r w:rsidRPr="0003766D">
        <w:rPr>
          <w:rFonts w:ascii="Times New Roman" w:hAnsi="Times New Roman" w:cs="Times New Roman"/>
          <w:i/>
          <w:sz w:val="24"/>
          <w:szCs w:val="24"/>
        </w:rPr>
        <w:t>Modified Monash Model distribution</w:t>
      </w:r>
      <w:bookmarkEnd w:id="8"/>
    </w:p>
    <w:p w:rsidR="004323BD" w:rsidRPr="006C7967" w:rsidRDefault="004323BD" w:rsidP="006C7967">
      <w:pPr>
        <w:spacing w:before="80" w:after="80"/>
        <w:jc w:val="both"/>
        <w:rPr>
          <w:szCs w:val="18"/>
        </w:rPr>
      </w:pPr>
      <w:r w:rsidRPr="006C7967">
        <w:rPr>
          <w:szCs w:val="18"/>
        </w:rPr>
        <w:t xml:space="preserve">The Modified Monash Model (MMM) is a recently developed geographical classification system, using up-to-date population data to address the maldistribution of medical services across Australia.  </w:t>
      </w:r>
      <w:r w:rsidR="00053532">
        <w:rPr>
          <w:szCs w:val="18"/>
        </w:rPr>
        <w:t>T</w:t>
      </w:r>
      <w:r w:rsidRPr="006C7967">
        <w:rPr>
          <w:szCs w:val="18"/>
        </w:rPr>
        <w:t>he MMM categories, which range from MMM1 (All areas categorised ASGS-RA1 (major cities)) to MMM7 (ASGS-RA 5 and areas on a populated island that is separated from the mainland in the ABS geography and is more than 5km offshore).</w:t>
      </w:r>
    </w:p>
    <w:p w:rsidR="004323BD" w:rsidRPr="006C7967" w:rsidRDefault="004323BD" w:rsidP="006C7967">
      <w:pPr>
        <w:spacing w:before="80" w:after="80"/>
        <w:jc w:val="both"/>
        <w:rPr>
          <w:szCs w:val="18"/>
        </w:rPr>
      </w:pPr>
      <w:r w:rsidRPr="006C7967">
        <w:rPr>
          <w:szCs w:val="18"/>
        </w:rPr>
        <w:t>On the basis of the number of practitioners per 100,000 population, MMM1 had the highest number of practitioners at 428.7 per 100,000. MMM7 had the lowest number of practitioners at 184.4 per 100,000. The highest increase in the number of practitioners per 100,000 was in MMM2 with an additional 36.3 practitioners between 2013 and 2016.</w:t>
      </w:r>
    </w:p>
    <w:p w:rsidR="004323BD" w:rsidRPr="006C7967" w:rsidRDefault="004323BD" w:rsidP="006C7967">
      <w:pPr>
        <w:spacing w:before="80" w:after="80"/>
        <w:jc w:val="both"/>
        <w:rPr>
          <w:szCs w:val="18"/>
        </w:rPr>
      </w:pPr>
      <w:r w:rsidRPr="006C7967">
        <w:rPr>
          <w:szCs w:val="18"/>
        </w:rPr>
        <w:t xml:space="preserve">Although the headcount increase was greater in MMM1 and MMM2 locations between 2013 and 2016, </w:t>
      </w:r>
      <w:r w:rsidR="00B07840">
        <w:rPr>
          <w:szCs w:val="18"/>
        </w:rPr>
        <w:t xml:space="preserve">the </w:t>
      </w:r>
      <w:r w:rsidRPr="006C7967">
        <w:rPr>
          <w:szCs w:val="18"/>
        </w:rPr>
        <w:t>proportional growth was greater in MMM7 locations, increasing by 17.6 per cent (headcount of 60).</w:t>
      </w:r>
    </w:p>
    <w:p w:rsidR="005E4750" w:rsidRPr="0003766D" w:rsidRDefault="005E4750" w:rsidP="0003766D">
      <w:pPr>
        <w:spacing w:before="120" w:after="120"/>
        <w:ind w:right="-366"/>
        <w:rPr>
          <w:rStyle w:val="Hyperlink"/>
          <w:color w:val="auto"/>
          <w:u w:val="none"/>
        </w:rPr>
      </w:pPr>
      <w:r w:rsidRPr="0003766D">
        <w:t xml:space="preserve">Further information on the Modified Monash Model is available at </w:t>
      </w:r>
      <w:hyperlink r:id="rId12" w:history="1">
        <w:r w:rsidRPr="0003766D">
          <w:rPr>
            <w:rStyle w:val="Hyperlink"/>
          </w:rPr>
          <w:t>doctorconnect.gov.au</w:t>
        </w:r>
      </w:hyperlink>
    </w:p>
    <w:p w:rsidR="004B69D5" w:rsidRDefault="004B69D5" w:rsidP="00972B4A">
      <w:pPr>
        <w:pStyle w:val="Heading1"/>
        <w:spacing w:before="600"/>
        <w:ind w:left="0"/>
        <w:rPr>
          <w:rFonts w:ascii="Times New Roman" w:hAnsi="Times New Roman" w:cs="Times New Roman"/>
          <w:sz w:val="28"/>
          <w:szCs w:val="28"/>
        </w:rPr>
      </w:pPr>
      <w:r w:rsidRPr="00A3123E">
        <w:rPr>
          <w:rFonts w:ascii="Times New Roman" w:hAnsi="Times New Roman" w:cs="Times New Roman"/>
          <w:sz w:val="28"/>
          <w:szCs w:val="28"/>
        </w:rPr>
        <w:t>Doctors from overseas</w:t>
      </w:r>
    </w:p>
    <w:p w:rsidR="00C179DD" w:rsidRPr="0003766D" w:rsidRDefault="00C179DD" w:rsidP="00972B4A">
      <w:pPr>
        <w:pStyle w:val="Heading1"/>
        <w:spacing w:before="360"/>
        <w:ind w:left="0"/>
        <w:rPr>
          <w:rFonts w:ascii="Times New Roman" w:hAnsi="Times New Roman" w:cs="Times New Roman"/>
          <w:i/>
          <w:sz w:val="24"/>
          <w:szCs w:val="24"/>
        </w:rPr>
      </w:pPr>
      <w:bookmarkStart w:id="9" w:name="_Toc490488803"/>
      <w:r w:rsidRPr="0003766D">
        <w:rPr>
          <w:rFonts w:ascii="Times New Roman" w:hAnsi="Times New Roman" w:cs="Times New Roman"/>
          <w:i/>
          <w:sz w:val="24"/>
          <w:szCs w:val="24"/>
        </w:rPr>
        <w:t>Initial qualification country</w:t>
      </w:r>
      <w:bookmarkEnd w:id="9"/>
    </w:p>
    <w:p w:rsidR="004323BD" w:rsidRPr="006C7967" w:rsidRDefault="004323BD" w:rsidP="006C7967">
      <w:pPr>
        <w:spacing w:before="80" w:after="80"/>
        <w:jc w:val="both"/>
        <w:rPr>
          <w:szCs w:val="18"/>
        </w:rPr>
      </w:pPr>
      <w:r w:rsidRPr="006C7967">
        <w:rPr>
          <w:szCs w:val="18"/>
        </w:rPr>
        <w:t>In 2016, 32.2 per cent (</w:t>
      </w:r>
      <w:r w:rsidR="00BD41B3">
        <w:rPr>
          <w:szCs w:val="18"/>
        </w:rPr>
        <w:t>headcount of 29,447) of the registered and employed</w:t>
      </w:r>
      <w:r w:rsidRPr="006C7967">
        <w:rPr>
          <w:szCs w:val="18"/>
        </w:rPr>
        <w:t xml:space="preserve"> medical workforce (headcount of 91,341) obtained their i</w:t>
      </w:r>
      <w:r w:rsidR="00BD41B3">
        <w:rPr>
          <w:szCs w:val="18"/>
        </w:rPr>
        <w:t xml:space="preserve">nitial qualification overseas. </w:t>
      </w:r>
      <w:proofErr w:type="gramStart"/>
      <w:r w:rsidRPr="006C7967">
        <w:rPr>
          <w:szCs w:val="18"/>
        </w:rPr>
        <w:t>The proportion of those who obtained their initial qualification overseas increased by three per cent from 2013 to 2016.</w:t>
      </w:r>
      <w:proofErr w:type="gramEnd"/>
    </w:p>
    <w:p w:rsidR="00C179DD" w:rsidRPr="0003766D" w:rsidRDefault="00C179DD"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Distribution of doctors from overseas</w:t>
      </w:r>
    </w:p>
    <w:p w:rsidR="004323BD" w:rsidRPr="006C7967" w:rsidRDefault="004323BD" w:rsidP="006C7967">
      <w:pPr>
        <w:spacing w:before="80" w:after="80"/>
        <w:jc w:val="both"/>
        <w:rPr>
          <w:szCs w:val="18"/>
        </w:rPr>
      </w:pPr>
      <w:r w:rsidRPr="006C7967">
        <w:rPr>
          <w:szCs w:val="18"/>
        </w:rPr>
        <w:t>Medical practitioners whose initial qualifications were obtained overseas form a key part of the medical workforce in Australia, most notably in rural areas.</w:t>
      </w:r>
    </w:p>
    <w:p w:rsidR="004323BD" w:rsidRPr="006C7967" w:rsidRDefault="004323BD" w:rsidP="006C7967">
      <w:pPr>
        <w:spacing w:before="80" w:after="80"/>
        <w:jc w:val="both"/>
        <w:rPr>
          <w:szCs w:val="18"/>
        </w:rPr>
      </w:pPr>
      <w:r w:rsidRPr="006C7967">
        <w:rPr>
          <w:szCs w:val="18"/>
        </w:rPr>
        <w:t xml:space="preserve">In 2016, 44.9 per cent of the medical workforce working in outer regional areas and 43.1 per cent in remote areas obtained their initial qualification overseas.  </w:t>
      </w:r>
    </w:p>
    <w:p w:rsidR="00EC676E" w:rsidRDefault="00EC676E" w:rsidP="0003766D">
      <w:pPr>
        <w:spacing w:after="120"/>
        <w:rPr>
          <w:color w:val="1F497D" w:themeColor="text2"/>
          <w:sz w:val="30"/>
          <w:szCs w:val="30"/>
          <w14:textOutline w14:w="5080" w14:cap="flat" w14:cmpd="sng" w14:algn="ctr">
            <w14:noFill/>
            <w14:prstDash w14:val="solid"/>
            <w14:round/>
          </w14:textOutline>
        </w:rPr>
      </w:pPr>
      <w:r>
        <w:rPr>
          <w:color w:val="1F497D" w:themeColor="text2"/>
          <w:sz w:val="30"/>
          <w:szCs w:val="30"/>
          <w14:textOutline w14:w="5080" w14:cap="flat" w14:cmpd="sng" w14:algn="ctr">
            <w14:noFill/>
            <w14:prstDash w14:val="solid"/>
            <w14:round/>
          </w14:textOutline>
        </w:rPr>
        <w:br w:type="page"/>
      </w:r>
    </w:p>
    <w:p w:rsidR="004B69D5" w:rsidRPr="00EC676E" w:rsidRDefault="004B69D5" w:rsidP="0003766D">
      <w:pPr>
        <w:spacing w:after="120"/>
        <w:jc w:val="both"/>
        <w:rPr>
          <w:sz w:val="28"/>
          <w:szCs w:val="28"/>
        </w:rPr>
      </w:pPr>
      <w:r w:rsidRPr="00EC676E">
        <w:rPr>
          <w:color w:val="1F497D" w:themeColor="text2"/>
          <w:sz w:val="28"/>
          <w:szCs w:val="28"/>
          <w14:textOutline w14:w="5080" w14:cap="flat" w14:cmpd="sng" w14:algn="ctr">
            <w14:noFill/>
            <w14:prstDash w14:val="solid"/>
            <w14:round/>
          </w14:textOutline>
        </w:rPr>
        <w:lastRenderedPageBreak/>
        <w:t>Provisional registrants</w:t>
      </w:r>
    </w:p>
    <w:p w:rsidR="004323BD" w:rsidRPr="006C7967" w:rsidRDefault="004323BD" w:rsidP="006C7967">
      <w:pPr>
        <w:spacing w:before="80" w:after="80"/>
        <w:jc w:val="both"/>
        <w:rPr>
          <w:szCs w:val="18"/>
        </w:rPr>
      </w:pPr>
      <w:r w:rsidRPr="006C7967">
        <w:rPr>
          <w:szCs w:val="18"/>
        </w:rPr>
        <w:t xml:space="preserve">Provisional registration applies to </w:t>
      </w:r>
      <w:r w:rsidR="00BC6254">
        <w:rPr>
          <w:szCs w:val="18"/>
        </w:rPr>
        <w:t>doctors</w:t>
      </w:r>
      <w:r w:rsidRPr="006C7967">
        <w:rPr>
          <w:szCs w:val="18"/>
        </w:rPr>
        <w:t xml:space="preserve"> required to complete a period of approved supervised practice to become eligible for general registration.</w:t>
      </w:r>
    </w:p>
    <w:p w:rsidR="004B69D5" w:rsidRPr="0003766D" w:rsidRDefault="004B69D5"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Characteristics</w:t>
      </w:r>
    </w:p>
    <w:p w:rsidR="004323BD" w:rsidRPr="006C7967" w:rsidRDefault="004323BD" w:rsidP="006C7967">
      <w:pPr>
        <w:spacing w:before="80" w:after="80"/>
        <w:jc w:val="both"/>
        <w:rPr>
          <w:szCs w:val="18"/>
        </w:rPr>
      </w:pPr>
      <w:r w:rsidRPr="006C7967">
        <w:rPr>
          <w:szCs w:val="18"/>
        </w:rPr>
        <w:t xml:space="preserve">5,564 medical practitioners were provisionally registered </w:t>
      </w:r>
      <w:r w:rsidR="00BC6254">
        <w:rPr>
          <w:szCs w:val="18"/>
        </w:rPr>
        <w:t>in 2016 (</w:t>
      </w:r>
      <w:r w:rsidRPr="006C7967">
        <w:rPr>
          <w:szCs w:val="18"/>
        </w:rPr>
        <w:t>Australian and overseas-trained practitioners</w:t>
      </w:r>
      <w:r w:rsidR="00BC6254">
        <w:rPr>
          <w:szCs w:val="18"/>
        </w:rPr>
        <w:t xml:space="preserve"> inclusive</w:t>
      </w:r>
      <w:r w:rsidRPr="006C7967">
        <w:rPr>
          <w:szCs w:val="18"/>
        </w:rPr>
        <w:t>).</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Age</w:t>
      </w:r>
    </w:p>
    <w:p w:rsidR="004323BD" w:rsidRPr="006C7967" w:rsidRDefault="004323BD" w:rsidP="006C7967">
      <w:pPr>
        <w:spacing w:before="80" w:after="80"/>
        <w:jc w:val="both"/>
        <w:rPr>
          <w:szCs w:val="18"/>
        </w:rPr>
      </w:pPr>
      <w:r w:rsidRPr="006C7967">
        <w:rPr>
          <w:szCs w:val="18"/>
        </w:rPr>
        <w:t>The average age of provisional registrants in 2016 was 28.8 years. 86.3 per cent of the provisional registrants were aged 34 and under. In comparison, in 2013 the average age was 28.0, with 90.9 per cent aged 34 and under.</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Gender</w:t>
      </w:r>
    </w:p>
    <w:p w:rsidR="004323BD" w:rsidRPr="006C7967" w:rsidRDefault="004323BD" w:rsidP="006C7967">
      <w:pPr>
        <w:spacing w:before="80" w:after="80"/>
        <w:jc w:val="both"/>
        <w:rPr>
          <w:szCs w:val="18"/>
        </w:rPr>
      </w:pPr>
      <w:r w:rsidRPr="006C7967">
        <w:rPr>
          <w:szCs w:val="18"/>
        </w:rPr>
        <w:t>From 2013 to 2016, the number of female provisional registrants was slightly higher than males, ranging from 54.1</w:t>
      </w:r>
      <w:r w:rsidR="007B7353">
        <w:rPr>
          <w:szCs w:val="18"/>
        </w:rPr>
        <w:t xml:space="preserve"> per cent</w:t>
      </w:r>
      <w:r w:rsidRPr="006C7967">
        <w:rPr>
          <w:szCs w:val="18"/>
        </w:rPr>
        <w:t xml:space="preserve"> (headcount of 1,917) in 2013 to 51.5</w:t>
      </w:r>
      <w:r w:rsidR="007B7353">
        <w:rPr>
          <w:szCs w:val="18"/>
        </w:rPr>
        <w:t xml:space="preserve"> per cent</w:t>
      </w:r>
      <w:r w:rsidRPr="006C7967">
        <w:rPr>
          <w:szCs w:val="18"/>
        </w:rPr>
        <w:t xml:space="preserve"> (headcount of 2,863) in 2016. </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State and Territory distribution</w:t>
      </w:r>
    </w:p>
    <w:p w:rsidR="004323BD" w:rsidRPr="006C7967" w:rsidRDefault="004323BD" w:rsidP="006C7967">
      <w:pPr>
        <w:spacing w:before="80" w:after="80"/>
        <w:jc w:val="both"/>
        <w:rPr>
          <w:szCs w:val="18"/>
        </w:rPr>
      </w:pPr>
      <w:r w:rsidRPr="006C7967">
        <w:rPr>
          <w:szCs w:val="18"/>
        </w:rPr>
        <w:t>In 2016, the highest proportion (27.1 per cent) of provisional registrants was located in NSW, followed by QLD with 25.5 per cent.</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Modified Monash Model distribution</w:t>
      </w:r>
    </w:p>
    <w:p w:rsidR="004323BD" w:rsidRPr="006C7967" w:rsidRDefault="00540CEA" w:rsidP="006C7967">
      <w:pPr>
        <w:spacing w:before="80" w:after="80"/>
        <w:jc w:val="both"/>
        <w:rPr>
          <w:szCs w:val="18"/>
        </w:rPr>
      </w:pPr>
      <w:r w:rsidRPr="006C7967">
        <w:rPr>
          <w:szCs w:val="18"/>
        </w:rPr>
        <w:t>A very small proportion (0.1 per cent) of provisional registrants was</w:t>
      </w:r>
      <w:r w:rsidR="004323BD" w:rsidRPr="006C7967">
        <w:rPr>
          <w:szCs w:val="18"/>
        </w:rPr>
        <w:t xml:space="preserve"> located in Ver</w:t>
      </w:r>
      <w:r>
        <w:rPr>
          <w:szCs w:val="18"/>
        </w:rPr>
        <w:t>y Remote locations or MMM</w:t>
      </w:r>
      <w:r w:rsidR="004323BD" w:rsidRPr="006C7967">
        <w:rPr>
          <w:szCs w:val="18"/>
        </w:rPr>
        <w:t>7 in 2016.  In 2013, no provisional registrants were located in these areas.</w:t>
      </w:r>
    </w:p>
    <w:p w:rsidR="00EC676E" w:rsidRPr="0003766D" w:rsidRDefault="00EC676E" w:rsidP="0003766D">
      <w:pPr>
        <w:spacing w:after="120"/>
        <w:jc w:val="both"/>
      </w:pPr>
    </w:p>
    <w:p w:rsidR="00342F97" w:rsidRDefault="00342F97" w:rsidP="0003766D">
      <w:pPr>
        <w:spacing w:after="120"/>
        <w:rPr>
          <w:color w:val="1F497D" w:themeColor="text2"/>
          <w:sz w:val="30"/>
          <w:szCs w:val="30"/>
          <w14:textOutline w14:w="5080" w14:cap="flat" w14:cmpd="sng" w14:algn="ctr">
            <w14:noFill/>
            <w14:prstDash w14:val="solid"/>
            <w14:round/>
          </w14:textOutline>
        </w:rPr>
      </w:pPr>
    </w:p>
    <w:p w:rsidR="00EC676E" w:rsidRDefault="00EC676E" w:rsidP="0003766D">
      <w:pPr>
        <w:spacing w:after="120"/>
        <w:rPr>
          <w:b/>
          <w:bCs/>
          <w:color w:val="1F497D" w:themeColor="text2"/>
          <w:kern w:val="28"/>
          <w:szCs w:val="32"/>
        </w:rPr>
      </w:pPr>
      <w:r>
        <w:br w:type="page"/>
      </w:r>
    </w:p>
    <w:p w:rsidR="002C58CD" w:rsidRPr="00EC676E" w:rsidRDefault="002C58CD" w:rsidP="0003766D">
      <w:pPr>
        <w:pStyle w:val="Heading1"/>
        <w:spacing w:before="0"/>
        <w:ind w:left="0"/>
        <w:rPr>
          <w:rFonts w:ascii="Times New Roman" w:hAnsi="Times New Roman" w:cs="Times New Roman"/>
          <w:sz w:val="28"/>
        </w:rPr>
      </w:pPr>
      <w:r w:rsidRPr="00EC676E">
        <w:rPr>
          <w:rFonts w:ascii="Times New Roman" w:hAnsi="Times New Roman" w:cs="Times New Roman"/>
          <w:sz w:val="28"/>
        </w:rPr>
        <w:lastRenderedPageBreak/>
        <w:t>Education and Training</w:t>
      </w:r>
    </w:p>
    <w:p w:rsidR="004323BD" w:rsidRPr="006C7967" w:rsidRDefault="004323BD" w:rsidP="006C7967">
      <w:pPr>
        <w:spacing w:before="80" w:after="80"/>
        <w:jc w:val="both"/>
        <w:rPr>
          <w:szCs w:val="18"/>
        </w:rPr>
      </w:pPr>
      <w:bookmarkStart w:id="10" w:name="_Toc490745772"/>
      <w:r w:rsidRPr="006C7967">
        <w:rPr>
          <w:szCs w:val="18"/>
        </w:rPr>
        <w:t xml:space="preserve">Extensive education and training is required to become a doctor in Australia. The education pathway to becoming a doctor can take up to 15 years of full-time study and work to complete. </w:t>
      </w:r>
    </w:p>
    <w:p w:rsidR="002C58CD" w:rsidRDefault="002C58CD" w:rsidP="00972B4A">
      <w:pPr>
        <w:pStyle w:val="Heading1"/>
        <w:spacing w:before="360"/>
        <w:ind w:left="0"/>
        <w:rPr>
          <w:rFonts w:ascii="Times New Roman" w:hAnsi="Times New Roman" w:cs="Times New Roman"/>
          <w:sz w:val="28"/>
        </w:rPr>
      </w:pPr>
      <w:r w:rsidRPr="00A3123E">
        <w:rPr>
          <w:rFonts w:ascii="Times New Roman" w:hAnsi="Times New Roman" w:cs="Times New Roman"/>
          <w:sz w:val="28"/>
        </w:rPr>
        <w:t>Students and graduates</w:t>
      </w:r>
      <w:bookmarkEnd w:id="10"/>
    </w:p>
    <w:p w:rsidR="004323BD" w:rsidRPr="006C7967" w:rsidRDefault="004323BD" w:rsidP="006C7967">
      <w:pPr>
        <w:spacing w:before="80" w:after="80"/>
        <w:jc w:val="both"/>
        <w:rPr>
          <w:szCs w:val="18"/>
        </w:rPr>
      </w:pPr>
      <w:r w:rsidRPr="006C7967">
        <w:rPr>
          <w:szCs w:val="18"/>
        </w:rPr>
        <w:t>The Australian Government controls the number of Commonwealth-supported medical students/graduates through the allocation of Commonwealth-supported places (CSPs) for courses of study in medicine.</w:t>
      </w:r>
      <w:r w:rsidR="006C145E">
        <w:rPr>
          <w:szCs w:val="18"/>
        </w:rPr>
        <w:t xml:space="preserve"> </w:t>
      </w:r>
      <w:r w:rsidR="006C145E" w:rsidRPr="006C145E">
        <w:rPr>
          <w:szCs w:val="18"/>
        </w:rPr>
        <w:t>Courses of study in medicine are defined under the Higher Education Support Act 2003 as a course of study, completion of which would allow provisional registration as a medical practitioner by an authority of a State, a Territory or the Commonwealth</w:t>
      </w:r>
      <w:r w:rsidR="006C145E">
        <w:rPr>
          <w:szCs w:val="18"/>
        </w:rPr>
        <w:t>.</w:t>
      </w:r>
    </w:p>
    <w:p w:rsidR="004323BD" w:rsidRPr="006C7967" w:rsidRDefault="004323BD" w:rsidP="00972B4A">
      <w:pPr>
        <w:pStyle w:val="Heading1"/>
        <w:spacing w:before="240"/>
        <w:ind w:left="0"/>
        <w:rPr>
          <w:rFonts w:ascii="Times New Roman" w:hAnsi="Times New Roman" w:cs="Times New Roman"/>
          <w:i/>
          <w:sz w:val="24"/>
          <w:szCs w:val="24"/>
          <w:u w:val="single"/>
        </w:rPr>
      </w:pPr>
      <w:bookmarkStart w:id="11" w:name="_Toc487808893"/>
      <w:bookmarkStart w:id="12" w:name="_Toc489262060"/>
      <w:bookmarkStart w:id="13" w:name="_Toc490745773"/>
      <w:r w:rsidRPr="006C7967">
        <w:rPr>
          <w:rFonts w:ascii="Times New Roman" w:hAnsi="Times New Roman" w:cs="Times New Roman"/>
          <w:i/>
          <w:sz w:val="24"/>
          <w:szCs w:val="24"/>
        </w:rPr>
        <w:t>Types of student places</w:t>
      </w:r>
      <w:bookmarkEnd w:id="11"/>
      <w:bookmarkEnd w:id="12"/>
      <w:bookmarkEnd w:id="13"/>
    </w:p>
    <w:p w:rsidR="004323BD" w:rsidRPr="006C7967" w:rsidRDefault="004323BD" w:rsidP="004323BD">
      <w:pPr>
        <w:spacing w:after="120"/>
        <w:jc w:val="both"/>
      </w:pPr>
      <w:r w:rsidRPr="006C7967">
        <w:t>In Australia, a student undertaking a course of study in medicine is either:</w:t>
      </w:r>
    </w:p>
    <w:p w:rsidR="004323BD" w:rsidRPr="006C7967" w:rsidRDefault="004323BD" w:rsidP="004323BD">
      <w:pPr>
        <w:pStyle w:val="ListParagraph"/>
        <w:numPr>
          <w:ilvl w:val="0"/>
          <w:numId w:val="13"/>
        </w:numPr>
        <w:spacing w:before="120" w:after="120"/>
        <w:ind w:left="425" w:hanging="425"/>
        <w:contextualSpacing w:val="0"/>
        <w:jc w:val="both"/>
      </w:pPr>
      <w:r w:rsidRPr="006C7967">
        <w:rPr>
          <w:b/>
        </w:rPr>
        <w:t>A domestic student studying in a CSP</w:t>
      </w:r>
      <w:r w:rsidRPr="006C7967">
        <w:t>, where the Government provides a subsidy towards the cost of the course. Students do not have to pay this subsidy back; however, they must pay a student contribution amount, which is calculated for each unit in which they are enrolled.  Eligible CSP students are able to access an income-contingent loan through the HECS-HELP scheme to pay their student contribution amounts.</w:t>
      </w:r>
    </w:p>
    <w:p w:rsidR="004323BD" w:rsidRPr="006C7967" w:rsidRDefault="004323BD" w:rsidP="004323BD">
      <w:pPr>
        <w:pStyle w:val="ListParagraph"/>
        <w:numPr>
          <w:ilvl w:val="0"/>
          <w:numId w:val="13"/>
        </w:numPr>
        <w:spacing w:before="120" w:after="120"/>
        <w:ind w:left="425" w:hanging="425"/>
        <w:contextualSpacing w:val="0"/>
        <w:jc w:val="both"/>
      </w:pPr>
      <w:r w:rsidRPr="006C7967">
        <w:rPr>
          <w:b/>
        </w:rPr>
        <w:t>A domestic student studying in a full-fee-paying place</w:t>
      </w:r>
      <w:r w:rsidRPr="006C7967">
        <w:t>, where the student is required to pay the full cost of his or her degree. Eligible domestic students enrolled in a full-fee-paying place at a higher education provider are able to access an income-contingent loan through the FEE-HELP scheme for their tuition fees, with a lifetime limit on FEE-HELP loans of $126,101 for students undertaking medicine, dentistry and veterinary science courses in 2017.</w:t>
      </w:r>
    </w:p>
    <w:p w:rsidR="004323BD" w:rsidRPr="006C7967" w:rsidRDefault="004323BD" w:rsidP="004323BD">
      <w:pPr>
        <w:pStyle w:val="ListParagraph"/>
        <w:numPr>
          <w:ilvl w:val="0"/>
          <w:numId w:val="13"/>
        </w:numPr>
        <w:spacing w:before="120" w:after="120"/>
        <w:ind w:left="425" w:hanging="425"/>
        <w:contextualSpacing w:val="0"/>
        <w:jc w:val="both"/>
      </w:pPr>
      <w:r w:rsidRPr="006C7967">
        <w:rPr>
          <w:b/>
        </w:rPr>
        <w:t>An international student studying in a full-fee-paying place</w:t>
      </w:r>
      <w:r w:rsidRPr="006C7967">
        <w:t xml:space="preserve">, where the student is required to pay the full cost of his or her degree. International students are not eligible to access a HELP loan to defer payment of their fees. </w:t>
      </w:r>
    </w:p>
    <w:p w:rsidR="004323BD" w:rsidRPr="006C7967" w:rsidRDefault="004323BD" w:rsidP="004323BD">
      <w:pPr>
        <w:spacing w:after="120"/>
        <w:jc w:val="both"/>
      </w:pPr>
      <w:r w:rsidRPr="006C7967">
        <w:t>From 2013 to 2017, the number of commencing domestic medical students increased by 178 (5.9</w:t>
      </w:r>
      <w:r w:rsidR="006C145E">
        <w:t xml:space="preserve"> per cent</w:t>
      </w:r>
      <w:r w:rsidRPr="006C7967">
        <w:t>), with more than half being female. The number of commencing international medical students increased by 6 (0.9</w:t>
      </w:r>
      <w:r w:rsidR="006C145E">
        <w:t xml:space="preserve"> per cent</w:t>
      </w:r>
      <w:r w:rsidRPr="006C7967">
        <w:t xml:space="preserve">) in the same time period. </w:t>
      </w:r>
    </w:p>
    <w:p w:rsidR="004323BD" w:rsidRPr="006C7967" w:rsidRDefault="004323BD" w:rsidP="006C7967">
      <w:pPr>
        <w:spacing w:after="120"/>
        <w:ind w:right="176"/>
        <w:jc w:val="both"/>
      </w:pPr>
      <w:bookmarkStart w:id="14" w:name="_Toc490745776"/>
      <w:r w:rsidRPr="006C7967">
        <w:t>In 2016 there were 3,569 medical graduates</w:t>
      </w:r>
      <w:r w:rsidR="006C145E">
        <w:t xml:space="preserve"> (domestic and international)</w:t>
      </w:r>
      <w:r w:rsidRPr="006C7967">
        <w:t>, with 3,567 expected to graduate in 2017.</w:t>
      </w:r>
    </w:p>
    <w:p w:rsidR="004323BD" w:rsidRPr="006C7967" w:rsidRDefault="004323BD" w:rsidP="006C7967">
      <w:pPr>
        <w:spacing w:after="120"/>
        <w:ind w:right="176"/>
        <w:jc w:val="both"/>
      </w:pPr>
      <w:r w:rsidRPr="006C7967">
        <w:t>Numbers of graduates are projected to increase by 3.8 per cent from 2017 to 2020 (to reach over 3,700 in 2020).</w:t>
      </w:r>
    </w:p>
    <w:p w:rsidR="002C58CD" w:rsidRPr="0003766D" w:rsidRDefault="002C58CD"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Interns</w:t>
      </w:r>
      <w:bookmarkEnd w:id="14"/>
      <w:r w:rsidR="00A90A79">
        <w:rPr>
          <w:rFonts w:ascii="Times New Roman" w:hAnsi="Times New Roman" w:cs="Times New Roman"/>
          <w:i/>
          <w:sz w:val="24"/>
          <w:szCs w:val="24"/>
        </w:rPr>
        <w:t xml:space="preserve"> (provisional registrants</w:t>
      </w:r>
      <w:r w:rsidR="008E02A2" w:rsidRPr="0003766D">
        <w:rPr>
          <w:rFonts w:ascii="Times New Roman" w:hAnsi="Times New Roman" w:cs="Times New Roman"/>
          <w:i/>
          <w:sz w:val="24"/>
          <w:szCs w:val="24"/>
        </w:rPr>
        <w:t>)</w:t>
      </w:r>
    </w:p>
    <w:p w:rsidR="004323BD" w:rsidRPr="006C7967" w:rsidRDefault="004323BD" w:rsidP="006C7967">
      <w:pPr>
        <w:spacing w:after="120"/>
        <w:ind w:right="176"/>
        <w:jc w:val="both"/>
      </w:pPr>
      <w:bookmarkStart w:id="15" w:name="_Toc490745777"/>
      <w:r w:rsidRPr="006C7967">
        <w:t xml:space="preserve">Satisfactory completion of an internship, also referred to as the first postgraduate year (PGY1), is required before junior doctors are eligible for general registration. After PGY1, and prior to starting vocational training, most doctors spend one or more years working in public, private or community settings to gain more clinical experience. International students who graduated from an Australian medical school occupied 335 (9.8 per cent) </w:t>
      </w:r>
      <w:r w:rsidR="00A90A79">
        <w:t xml:space="preserve">of the </w:t>
      </w:r>
      <w:r w:rsidRPr="006C7967">
        <w:t>PGY1 positions in 2016.</w:t>
      </w:r>
    </w:p>
    <w:p w:rsidR="002C58CD" w:rsidRPr="0003766D" w:rsidRDefault="002C58CD"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State and Territory distribution of interns</w:t>
      </w:r>
      <w:bookmarkEnd w:id="15"/>
    </w:p>
    <w:p w:rsidR="004323BD" w:rsidRPr="006C7967" w:rsidRDefault="004323BD" w:rsidP="006C7967">
      <w:pPr>
        <w:spacing w:after="120"/>
        <w:ind w:right="176"/>
        <w:jc w:val="both"/>
      </w:pPr>
      <w:bookmarkStart w:id="16" w:name="_Toc490745779"/>
      <w:r w:rsidRPr="006C7967">
        <w:t>From 2013 to 2016, the number of interns commencing their PGY1 increased by 9.7 per cent (302) to 3,420, with an average annual increase of 3.1 per cent. The number of PGY1 internships in VIC increased by 14.1 per cent (100), which was the largest increase across all states and territories. QLD and NSW increased by 62 and 61 respectively. In addition, Commonwealth-funded internships increased to 100 in 2016, from 22 in 2013.</w:t>
      </w:r>
    </w:p>
    <w:p w:rsidR="00EC676E" w:rsidRPr="0003766D" w:rsidRDefault="00EC676E" w:rsidP="0003766D">
      <w:pPr>
        <w:pStyle w:val="Heading1"/>
        <w:spacing w:before="0"/>
        <w:ind w:left="0"/>
        <w:rPr>
          <w:rFonts w:ascii="Times New Roman" w:hAnsi="Times New Roman" w:cs="Times New Roman"/>
          <w:i/>
          <w:sz w:val="24"/>
          <w:szCs w:val="24"/>
        </w:rPr>
      </w:pPr>
      <w:r w:rsidRPr="0003766D">
        <w:rPr>
          <w:rFonts w:ascii="Times New Roman" w:hAnsi="Times New Roman" w:cs="Times New Roman"/>
          <w:i/>
          <w:sz w:val="24"/>
          <w:szCs w:val="24"/>
        </w:rPr>
        <w:lastRenderedPageBreak/>
        <w:t>Vocational training</w:t>
      </w:r>
      <w:bookmarkEnd w:id="16"/>
    </w:p>
    <w:p w:rsidR="004323BD" w:rsidRPr="006C7967" w:rsidRDefault="004323BD" w:rsidP="006C7967">
      <w:pPr>
        <w:spacing w:after="120"/>
        <w:ind w:right="176"/>
        <w:jc w:val="both"/>
      </w:pPr>
      <w:r w:rsidRPr="006C7967">
        <w:t xml:space="preserve">Most medical graduates seek entry into a specialist or vocational training program that leads to fellowship from a medical college after their university education and intern year. Each medical college has its own training program and requirements approved by the Australian Medical Council (AMC). A number of doctors will work in hospital settings in </w:t>
      </w:r>
      <w:r w:rsidR="00A90A79">
        <w:t>hospital non specialist</w:t>
      </w:r>
      <w:r w:rsidRPr="006C7967">
        <w:t xml:space="preserve"> roles, such as career medical officers (CMOs).</w:t>
      </w:r>
    </w:p>
    <w:p w:rsidR="004323BD" w:rsidRPr="006C7967" w:rsidRDefault="004323BD" w:rsidP="006C7967">
      <w:pPr>
        <w:spacing w:after="120"/>
        <w:ind w:right="176"/>
        <w:jc w:val="both"/>
      </w:pPr>
      <w:r w:rsidRPr="006C7967">
        <w:t>Consistent with increases in medical students, graduates and interns, vocational trainee numbers have also been increasing. From 2013 to 2016, the total number of trainees rose from 17,888 to 21,224 (</w:t>
      </w:r>
      <w:r w:rsidR="00A90A79">
        <w:t xml:space="preserve">increase of </w:t>
      </w:r>
      <w:r w:rsidRPr="006C7967">
        <w:t xml:space="preserve">3,336 or 18.6 per cent), with advanced trainee numbers rising 24.4 per cent (from 11,832 to 14,723). </w:t>
      </w:r>
    </w:p>
    <w:p w:rsidR="004323BD" w:rsidRPr="006C7967" w:rsidRDefault="004323BD" w:rsidP="006C7967">
      <w:pPr>
        <w:spacing w:after="120"/>
        <w:ind w:right="176"/>
        <w:jc w:val="both"/>
      </w:pPr>
      <w:r w:rsidRPr="006C7967">
        <w:t xml:space="preserve">In 2016, 30.6 per cent (6,501) of the total 21,224 positions were in basic training. In 2013, the proportion was 33.9 per cent (6,056 of a total 17,888 positions). </w:t>
      </w:r>
    </w:p>
    <w:p w:rsidR="002C58CD" w:rsidRPr="0003766D" w:rsidRDefault="002C58CD"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Hospital non-specialists</w:t>
      </w:r>
    </w:p>
    <w:p w:rsidR="004323BD" w:rsidRPr="006C7967" w:rsidRDefault="004323BD" w:rsidP="006C7967">
      <w:pPr>
        <w:spacing w:after="120"/>
        <w:ind w:right="176"/>
        <w:jc w:val="both"/>
      </w:pPr>
      <w:bookmarkStart w:id="17" w:name="_Toc482189386"/>
      <w:bookmarkStart w:id="18" w:name="_Toc490478479"/>
      <w:r w:rsidRPr="006C7967">
        <w:t>The category of Hospital Non-Specialists (HNS) is used to count doctors that work as a salaried medical officer in a hospital setting. The HNS workforce makes a major contribution to the provision of medical services in ho</w:t>
      </w:r>
      <w:bookmarkStart w:id="19" w:name="_GoBack"/>
      <w:bookmarkEnd w:id="19"/>
      <w:r w:rsidRPr="006C7967">
        <w:t xml:space="preserve">spitals. This workforce includes doctors in training as interns, resident medical officers (RMOs), career medical officers (CMOs), hospital medical officers (HMOs), principal house officers (PHOs) and other salaried hospital doctors who are not specialists or in recognised vocational training programs to become specialists. </w:t>
      </w:r>
    </w:p>
    <w:p w:rsidR="004323BD" w:rsidRPr="006C7967" w:rsidRDefault="004323BD" w:rsidP="006C7967">
      <w:pPr>
        <w:spacing w:after="120"/>
        <w:ind w:right="176"/>
        <w:jc w:val="both"/>
      </w:pPr>
      <w:r w:rsidRPr="006C7967">
        <w:t xml:space="preserve">The HNS workforce accounts for 11.2 per cent of the total clinical workforce; it has seen a small annual growth rate of 0.83 per cent compared to the total medical workforce that has grown at 3.5 per cent in the same period. </w:t>
      </w:r>
    </w:p>
    <w:p w:rsidR="002C58CD" w:rsidRPr="0003766D" w:rsidRDefault="002C58CD"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Intention to undertake vocational training</w:t>
      </w:r>
      <w:bookmarkEnd w:id="17"/>
      <w:bookmarkEnd w:id="18"/>
    </w:p>
    <w:p w:rsidR="004323BD" w:rsidRPr="006C7967" w:rsidRDefault="004323BD" w:rsidP="006C7967">
      <w:pPr>
        <w:spacing w:after="120"/>
        <w:ind w:right="176"/>
        <w:jc w:val="both"/>
      </w:pPr>
      <w:r w:rsidRPr="006C7967">
        <w:t>In 2013, new questions were included in the Workforce Survey which identified those who intended to undertake vocational training. The information collected from these questions form part of the future planning process by providing an indicative number of the future intentions of trainees.</w:t>
      </w:r>
    </w:p>
    <w:p w:rsidR="004323BD" w:rsidRPr="006C7967" w:rsidRDefault="004323BD" w:rsidP="006C7967">
      <w:pPr>
        <w:spacing w:after="120"/>
        <w:ind w:right="176"/>
        <w:jc w:val="both"/>
      </w:pPr>
      <w:r w:rsidRPr="006C7967">
        <w:t xml:space="preserve">The specialty in which a HNS had intended to undertake training could differ from the specialty training undertaken in subsequent years. </w:t>
      </w:r>
    </w:p>
    <w:p w:rsidR="004323BD" w:rsidRPr="006C7967" w:rsidRDefault="004323BD" w:rsidP="006C7967">
      <w:pPr>
        <w:spacing w:after="120"/>
        <w:ind w:right="176"/>
        <w:jc w:val="both"/>
      </w:pPr>
      <w:r w:rsidRPr="006C7967">
        <w:t xml:space="preserve">From the 2013 cohort, there were 1,473 HNS that expressed an intention to undertake specialty training in general practice. Of those, 740 undertook specialty training in General Practice and 69 undertook training in specialties other than general practice in 2016. </w:t>
      </w:r>
    </w:p>
    <w:p w:rsidR="00EC676E" w:rsidRDefault="00EC676E" w:rsidP="0003766D">
      <w:pPr>
        <w:spacing w:after="120"/>
        <w:rPr>
          <w:color w:val="1F497D" w:themeColor="text2"/>
          <w:sz w:val="30"/>
          <w:szCs w:val="30"/>
          <w14:textOutline w14:w="5080" w14:cap="flat" w14:cmpd="sng" w14:algn="ctr">
            <w14:noFill/>
            <w14:prstDash w14:val="solid"/>
            <w14:round/>
          </w14:textOutline>
        </w:rPr>
      </w:pPr>
      <w:r>
        <w:rPr>
          <w:color w:val="1F497D" w:themeColor="text2"/>
          <w:sz w:val="30"/>
          <w:szCs w:val="30"/>
          <w14:textOutline w14:w="5080" w14:cap="flat" w14:cmpd="sng" w14:algn="ctr">
            <w14:noFill/>
            <w14:prstDash w14:val="solid"/>
            <w14:round/>
          </w14:textOutline>
        </w:rPr>
        <w:br w:type="page"/>
      </w:r>
    </w:p>
    <w:p w:rsidR="00AB78C9" w:rsidRPr="00EC676E" w:rsidRDefault="00AB78C9" w:rsidP="0003766D">
      <w:pPr>
        <w:spacing w:before="480" w:after="120"/>
        <w:jc w:val="both"/>
        <w:rPr>
          <w:sz w:val="16"/>
          <w:szCs w:val="18"/>
        </w:rPr>
      </w:pPr>
      <w:r w:rsidRPr="00EC676E">
        <w:rPr>
          <w:color w:val="1F497D" w:themeColor="text2"/>
          <w:sz w:val="28"/>
          <w:szCs w:val="30"/>
          <w14:textOutline w14:w="5080" w14:cap="flat" w14:cmpd="sng" w14:algn="ctr">
            <w14:noFill/>
            <w14:prstDash w14:val="solid"/>
            <w14:round/>
          </w14:textOutline>
        </w:rPr>
        <w:lastRenderedPageBreak/>
        <w:t>Non-practising registrants</w:t>
      </w:r>
    </w:p>
    <w:p w:rsidR="004323BD" w:rsidRPr="006C7967" w:rsidRDefault="004323BD" w:rsidP="006C7967">
      <w:pPr>
        <w:spacing w:after="120"/>
        <w:ind w:right="176"/>
        <w:jc w:val="both"/>
      </w:pPr>
      <w:r w:rsidRPr="006C7967">
        <w:t>Non-practising registration applies to practitioners who have previously held general or specialist registration in a profession who do not wish to practise the profession but wish to remain registered.  Furthermore, under National Law, non-practising registrants are not permitted to practise.</w:t>
      </w:r>
    </w:p>
    <w:p w:rsidR="00AB78C9" w:rsidRPr="0003766D" w:rsidRDefault="00AB78C9"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Characteristics</w:t>
      </w:r>
    </w:p>
    <w:p w:rsidR="004323BD" w:rsidRPr="006C7967" w:rsidRDefault="004323BD" w:rsidP="006C7967">
      <w:pPr>
        <w:spacing w:after="120"/>
        <w:ind w:right="176"/>
        <w:jc w:val="both"/>
      </w:pPr>
      <w:r w:rsidRPr="006C7967">
        <w:t>2,696 registered medical practitioners held a non-practising registration in 2016.</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Age</w:t>
      </w:r>
    </w:p>
    <w:p w:rsidR="004323BD" w:rsidRPr="006C7967" w:rsidRDefault="004323BD" w:rsidP="006C7967">
      <w:pPr>
        <w:spacing w:after="120"/>
        <w:ind w:right="176"/>
        <w:jc w:val="both"/>
      </w:pPr>
      <w:r w:rsidRPr="006C7967">
        <w:t>The average age of non-practising registrants in 2016 was 58.6 years. 40.4 per cent of non-practising registrants were aged 65 and over. In 2013, the average age was lower at 57.6 and a slightly lower proportion (38.3 per cent) were aged 65 and over.</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Gender</w:t>
      </w:r>
    </w:p>
    <w:p w:rsidR="004323BD" w:rsidRPr="006C7967" w:rsidRDefault="004323BD" w:rsidP="006C7967">
      <w:pPr>
        <w:spacing w:after="120"/>
        <w:ind w:right="176"/>
        <w:jc w:val="both"/>
      </w:pPr>
      <w:r w:rsidRPr="006C7967">
        <w:t>The proportion of female non-practising registrants increased slightly from 38.6 per cent in 2013 to 41.4 per cent in 2016. The proportion of males decreased from 61.4 per cent in 2013 to 58.6 per cent in 2016.</w:t>
      </w:r>
    </w:p>
    <w:p w:rsidR="00AB78C9" w:rsidRPr="0003766D" w:rsidRDefault="00AB78C9"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State and Territory distribution</w:t>
      </w:r>
    </w:p>
    <w:p w:rsidR="004323BD" w:rsidRPr="006C7967" w:rsidRDefault="004323BD" w:rsidP="006C7967">
      <w:pPr>
        <w:spacing w:after="120"/>
        <w:ind w:right="176"/>
        <w:jc w:val="both"/>
      </w:pPr>
      <w:r w:rsidRPr="006C7967">
        <w:t>In 2016, the largest proportion of non-practising registrants (25.3 per cent) was located in NSW, followed by VIC with 18.8 per cent.</w:t>
      </w:r>
    </w:p>
    <w:p w:rsidR="00AB78C9" w:rsidRPr="00EC676E" w:rsidRDefault="00AB78C9" w:rsidP="00972B4A">
      <w:pPr>
        <w:spacing w:before="720" w:after="120"/>
        <w:jc w:val="both"/>
        <w:rPr>
          <w:sz w:val="18"/>
          <w:szCs w:val="18"/>
        </w:rPr>
      </w:pPr>
      <w:r w:rsidRPr="00EC676E">
        <w:rPr>
          <w:color w:val="1F497D" w:themeColor="text2"/>
          <w:sz w:val="28"/>
          <w:szCs w:val="30"/>
          <w14:textOutline w14:w="5080" w14:cap="flat" w14:cmpd="sng" w14:algn="ctr">
            <w14:noFill/>
            <w14:prstDash w14:val="solid"/>
            <w14:round/>
          </w14:textOutline>
        </w:rPr>
        <w:t>Registered medical practitioners not in the medical workforce</w:t>
      </w:r>
    </w:p>
    <w:p w:rsidR="00AB78C9" w:rsidRPr="0003766D" w:rsidRDefault="00AB78C9" w:rsidP="00972B4A">
      <w:pPr>
        <w:pStyle w:val="Heading1"/>
        <w:spacing w:before="360"/>
        <w:ind w:left="0"/>
        <w:rPr>
          <w:rFonts w:ascii="Times New Roman" w:hAnsi="Times New Roman" w:cs="Times New Roman"/>
          <w:sz w:val="24"/>
          <w:szCs w:val="24"/>
        </w:rPr>
      </w:pPr>
      <w:r w:rsidRPr="0003766D">
        <w:rPr>
          <w:rFonts w:ascii="Times New Roman" w:hAnsi="Times New Roman" w:cs="Times New Roman"/>
          <w:sz w:val="24"/>
          <w:szCs w:val="24"/>
        </w:rPr>
        <w:t>Characteristics</w:t>
      </w:r>
    </w:p>
    <w:p w:rsidR="004323BD" w:rsidRPr="006C7967" w:rsidRDefault="004323BD" w:rsidP="006C7967">
      <w:pPr>
        <w:spacing w:after="120"/>
        <w:ind w:right="176"/>
        <w:jc w:val="both"/>
      </w:pPr>
      <w:r w:rsidRPr="006C7967">
        <w:t>4,601 registered medical practitioners were not working in the medical workforce in 2016: 705 were retired, 1,186 were not looking for work and 2,710 were overseas.</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Age</w:t>
      </w:r>
    </w:p>
    <w:p w:rsidR="004323BD" w:rsidRPr="006C7967" w:rsidRDefault="004323BD" w:rsidP="006C7967">
      <w:pPr>
        <w:spacing w:after="120"/>
        <w:ind w:right="176"/>
        <w:jc w:val="both"/>
      </w:pPr>
      <w:r w:rsidRPr="006C7967">
        <w:t>The average age of registrants not working in medicine in 2016 was 50.1 years. 22.1 per cent of registrants not working in medicine were aged 65 and over. In comparison, in 2013, the average age was 50.9, with 23.4 per cent aged 65 and over.</w:t>
      </w:r>
    </w:p>
    <w:p w:rsidR="00EC676E" w:rsidRPr="0003766D" w:rsidRDefault="00EC676E"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Gender</w:t>
      </w:r>
    </w:p>
    <w:p w:rsidR="004323BD" w:rsidRPr="006C7967" w:rsidRDefault="004323BD" w:rsidP="006C7967">
      <w:pPr>
        <w:spacing w:after="120"/>
        <w:ind w:right="176"/>
        <w:jc w:val="both"/>
      </w:pPr>
      <w:r w:rsidRPr="006C7967">
        <w:t>The proportion of female registrants not working in medicine increased slightly from 36.6 per cent in 2013 to 38.5 per cent in 2016. The proportion of males decreased from 63.4 per cent in 2013 to 61.5 per cent in 2016.</w:t>
      </w:r>
    </w:p>
    <w:p w:rsidR="00AB78C9" w:rsidRPr="0003766D" w:rsidRDefault="00AB78C9" w:rsidP="00972B4A">
      <w:pPr>
        <w:pStyle w:val="Heading1"/>
        <w:spacing w:before="360"/>
        <w:ind w:left="0"/>
        <w:rPr>
          <w:rFonts w:ascii="Times New Roman" w:hAnsi="Times New Roman" w:cs="Times New Roman"/>
          <w:i/>
          <w:sz w:val="24"/>
          <w:szCs w:val="24"/>
        </w:rPr>
      </w:pPr>
      <w:r w:rsidRPr="0003766D">
        <w:rPr>
          <w:rFonts w:ascii="Times New Roman" w:hAnsi="Times New Roman" w:cs="Times New Roman"/>
          <w:i/>
          <w:sz w:val="24"/>
          <w:szCs w:val="24"/>
        </w:rPr>
        <w:t>State and Territory distribution</w:t>
      </w:r>
    </w:p>
    <w:p w:rsidR="004323BD" w:rsidRPr="006C7967" w:rsidRDefault="004323BD" w:rsidP="006C7967">
      <w:pPr>
        <w:spacing w:after="120"/>
        <w:ind w:right="176"/>
        <w:jc w:val="both"/>
      </w:pPr>
      <w:r w:rsidRPr="006C7967">
        <w:t xml:space="preserve">In 2016, the largest proportion of registrants not working in medicine (24.3 per cent) was located in NSW, followed by VIC with 16.0 per cent.  </w:t>
      </w:r>
    </w:p>
    <w:p w:rsidR="00AB78C9" w:rsidRDefault="00AB78C9" w:rsidP="0003766D">
      <w:pPr>
        <w:spacing w:after="120"/>
      </w:pPr>
      <w:r>
        <w:br w:type="page"/>
      </w:r>
    </w:p>
    <w:p w:rsidR="004B69D5" w:rsidRPr="00D511D1" w:rsidRDefault="004B69D5" w:rsidP="0003766D">
      <w:pPr>
        <w:pStyle w:val="Heading1"/>
        <w:spacing w:before="0"/>
        <w:ind w:left="176"/>
        <w:rPr>
          <w:rFonts w:ascii="Times New Roman" w:hAnsi="Times New Roman" w:cs="Times New Roman"/>
          <w:sz w:val="20"/>
          <w:szCs w:val="20"/>
        </w:rPr>
      </w:pPr>
      <w:r w:rsidRPr="00D511D1">
        <w:rPr>
          <w:rFonts w:ascii="Times New Roman" w:hAnsi="Times New Roman" w:cs="Times New Roman"/>
          <w:sz w:val="20"/>
          <w:szCs w:val="20"/>
        </w:rPr>
        <w:lastRenderedPageBreak/>
        <w:t>References</w:t>
      </w:r>
    </w:p>
    <w:p w:rsidR="004B69D5" w:rsidRPr="00D511D1" w:rsidRDefault="004B69D5" w:rsidP="0003766D">
      <w:pPr>
        <w:pStyle w:val="ListParagraph"/>
        <w:numPr>
          <w:ilvl w:val="0"/>
          <w:numId w:val="3"/>
        </w:numPr>
        <w:spacing w:after="120"/>
        <w:ind w:left="284" w:hanging="142"/>
        <w:jc w:val="both"/>
        <w:rPr>
          <w:sz w:val="20"/>
          <w:szCs w:val="20"/>
        </w:rPr>
      </w:pPr>
      <w:r w:rsidRPr="00D511D1">
        <w:rPr>
          <w:sz w:val="20"/>
          <w:szCs w:val="20"/>
        </w:rPr>
        <w:t>National Health Workforce Dataset (NHWDS): Medical Practitioners 2016.</w:t>
      </w:r>
    </w:p>
    <w:p w:rsidR="004B69D5" w:rsidRPr="00D511D1" w:rsidRDefault="004B69D5" w:rsidP="0003766D">
      <w:pPr>
        <w:pStyle w:val="ListParagraph"/>
        <w:numPr>
          <w:ilvl w:val="0"/>
          <w:numId w:val="3"/>
        </w:numPr>
        <w:spacing w:after="120"/>
        <w:ind w:left="284" w:hanging="142"/>
        <w:jc w:val="both"/>
        <w:rPr>
          <w:sz w:val="20"/>
          <w:szCs w:val="20"/>
        </w:rPr>
      </w:pPr>
      <w:r w:rsidRPr="00D511D1">
        <w:rPr>
          <w:sz w:val="20"/>
          <w:szCs w:val="20"/>
        </w:rPr>
        <w:t>Australian Medical Association (AMA) Career Pathways Guide</w:t>
      </w:r>
      <w:r w:rsidR="00FB3127" w:rsidRPr="00D511D1">
        <w:rPr>
          <w:sz w:val="20"/>
          <w:szCs w:val="20"/>
        </w:rPr>
        <w:t>.</w:t>
      </w:r>
    </w:p>
    <w:p w:rsidR="004B69D5" w:rsidRPr="00D511D1" w:rsidRDefault="004B69D5" w:rsidP="0003766D">
      <w:pPr>
        <w:pStyle w:val="ListParagraph"/>
        <w:numPr>
          <w:ilvl w:val="0"/>
          <w:numId w:val="3"/>
        </w:numPr>
        <w:spacing w:after="120"/>
        <w:ind w:left="284" w:hanging="142"/>
        <w:jc w:val="both"/>
        <w:rPr>
          <w:sz w:val="20"/>
          <w:szCs w:val="20"/>
        </w:rPr>
      </w:pPr>
      <w:r w:rsidRPr="00D511D1">
        <w:rPr>
          <w:sz w:val="20"/>
          <w:szCs w:val="20"/>
        </w:rPr>
        <w:t xml:space="preserve">Australian and New Zealand College of Anaesthetists. </w:t>
      </w:r>
    </w:p>
    <w:p w:rsidR="004B69D5" w:rsidRPr="00D511D1" w:rsidRDefault="004B69D5" w:rsidP="0003766D">
      <w:pPr>
        <w:pStyle w:val="ListParagraph"/>
        <w:numPr>
          <w:ilvl w:val="0"/>
          <w:numId w:val="3"/>
        </w:numPr>
        <w:spacing w:after="120"/>
        <w:ind w:left="284" w:hanging="142"/>
        <w:jc w:val="both"/>
        <w:rPr>
          <w:sz w:val="20"/>
          <w:szCs w:val="20"/>
        </w:rPr>
      </w:pPr>
      <w:r w:rsidRPr="00D511D1">
        <w:rPr>
          <w:sz w:val="20"/>
          <w:szCs w:val="20"/>
        </w:rPr>
        <w:t>Medical Education and Training Report 1</w:t>
      </w:r>
      <w:r w:rsidRPr="00D511D1">
        <w:rPr>
          <w:sz w:val="20"/>
          <w:szCs w:val="20"/>
          <w:vertAlign w:val="superscript"/>
        </w:rPr>
        <w:t>st</w:t>
      </w:r>
      <w:r w:rsidRPr="00D511D1">
        <w:rPr>
          <w:sz w:val="20"/>
          <w:szCs w:val="20"/>
        </w:rPr>
        <w:t xml:space="preserve"> edition (unpublished). </w:t>
      </w:r>
    </w:p>
    <w:p w:rsidR="004B69D5" w:rsidRPr="00D511D1" w:rsidRDefault="004B69D5" w:rsidP="0003766D">
      <w:pPr>
        <w:pStyle w:val="ListParagraph"/>
        <w:numPr>
          <w:ilvl w:val="0"/>
          <w:numId w:val="3"/>
        </w:numPr>
        <w:spacing w:after="120"/>
        <w:ind w:left="284" w:hanging="142"/>
        <w:jc w:val="both"/>
        <w:rPr>
          <w:sz w:val="20"/>
          <w:szCs w:val="20"/>
        </w:rPr>
      </w:pPr>
      <w:r w:rsidRPr="00D511D1">
        <w:rPr>
          <w:sz w:val="20"/>
          <w:szCs w:val="20"/>
        </w:rPr>
        <w:t>Australia Bureau of Statistics, 3218.0 Regional Population Growth, Australia. Released 28/07/17.</w:t>
      </w:r>
    </w:p>
    <w:p w:rsidR="004B69D5" w:rsidRPr="00D511D1" w:rsidRDefault="004B69D5" w:rsidP="00D511D1">
      <w:pPr>
        <w:pStyle w:val="Heading1"/>
        <w:spacing w:before="360"/>
        <w:ind w:left="176"/>
        <w:rPr>
          <w:rFonts w:ascii="Times New Roman" w:hAnsi="Times New Roman" w:cs="Times New Roman"/>
          <w:sz w:val="20"/>
          <w:szCs w:val="20"/>
        </w:rPr>
      </w:pPr>
      <w:r w:rsidRPr="00D511D1">
        <w:rPr>
          <w:rFonts w:ascii="Times New Roman" w:hAnsi="Times New Roman" w:cs="Times New Roman"/>
          <w:sz w:val="20"/>
          <w:szCs w:val="20"/>
        </w:rPr>
        <w:t>Copyright</w:t>
      </w:r>
    </w:p>
    <w:p w:rsidR="004B69D5" w:rsidRPr="00D511D1" w:rsidRDefault="004B69D5" w:rsidP="0003766D">
      <w:pPr>
        <w:spacing w:after="120"/>
        <w:ind w:left="142"/>
        <w:jc w:val="both"/>
        <w:rPr>
          <w:sz w:val="20"/>
          <w:szCs w:val="20"/>
        </w:rPr>
      </w:pPr>
      <w:r w:rsidRPr="00D511D1">
        <w:rPr>
          <w:sz w:val="20"/>
          <w:szCs w:val="20"/>
        </w:rPr>
        <w:t>© 2017 Commonwealth of Australia as represented by the Department of Health</w:t>
      </w:r>
    </w:p>
    <w:p w:rsidR="004B69D5" w:rsidRPr="00D511D1" w:rsidRDefault="004B69D5" w:rsidP="0003766D">
      <w:pPr>
        <w:spacing w:after="120"/>
        <w:ind w:left="142"/>
        <w:jc w:val="both"/>
        <w:rPr>
          <w:sz w:val="20"/>
          <w:szCs w:val="20"/>
        </w:rPr>
      </w:pPr>
      <w:r w:rsidRPr="00D511D1">
        <w:rPr>
          <w:sz w:val="20"/>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4B69D5" w:rsidRPr="00D511D1" w:rsidRDefault="004B69D5" w:rsidP="0003766D">
      <w:pPr>
        <w:pStyle w:val="ListParagraph"/>
        <w:numPr>
          <w:ilvl w:val="0"/>
          <w:numId w:val="2"/>
        </w:numPr>
        <w:spacing w:after="120"/>
        <w:ind w:left="284" w:hanging="142"/>
        <w:jc w:val="both"/>
        <w:rPr>
          <w:sz w:val="20"/>
          <w:szCs w:val="20"/>
        </w:rPr>
      </w:pPr>
      <w:r w:rsidRPr="00D511D1">
        <w:rPr>
          <w:sz w:val="20"/>
          <w:szCs w:val="20"/>
        </w:rPr>
        <w:t>do not use the copy or reproduction for any commercial purpose; and</w:t>
      </w:r>
    </w:p>
    <w:p w:rsidR="004B69D5" w:rsidRPr="00D511D1" w:rsidRDefault="004B69D5" w:rsidP="0003766D">
      <w:pPr>
        <w:pStyle w:val="ListParagraph"/>
        <w:numPr>
          <w:ilvl w:val="0"/>
          <w:numId w:val="2"/>
        </w:numPr>
        <w:spacing w:after="120"/>
        <w:ind w:left="284" w:hanging="142"/>
        <w:jc w:val="both"/>
        <w:rPr>
          <w:sz w:val="20"/>
          <w:szCs w:val="20"/>
        </w:rPr>
      </w:pPr>
      <w:r w:rsidRPr="00D511D1">
        <w:rPr>
          <w:sz w:val="20"/>
          <w:szCs w:val="20"/>
        </w:rPr>
        <w:t>retain this copyright notice and all disclaimer notices as part of that copy or reproduction.</w:t>
      </w:r>
    </w:p>
    <w:p w:rsidR="004B69D5" w:rsidRPr="00D511D1" w:rsidRDefault="004B69D5" w:rsidP="0003766D">
      <w:pPr>
        <w:spacing w:after="120"/>
        <w:ind w:left="142"/>
        <w:jc w:val="both"/>
        <w:rPr>
          <w:sz w:val="20"/>
          <w:szCs w:val="20"/>
        </w:rPr>
      </w:pPr>
      <w:r w:rsidRPr="00D511D1">
        <w:rPr>
          <w:sz w:val="20"/>
          <w:szCs w:val="20"/>
        </w:rPr>
        <w:t>Apart from rights as permitted by the Copyright Act 1968 (Cth) or allowed by this copyright notice, all other rights are reserved, including (but not limited to) all commercial rights.</w:t>
      </w:r>
    </w:p>
    <w:p w:rsidR="004B69D5" w:rsidRPr="00D511D1" w:rsidRDefault="004B69D5" w:rsidP="0003766D">
      <w:pPr>
        <w:spacing w:after="120"/>
        <w:ind w:left="142"/>
        <w:jc w:val="both"/>
        <w:rPr>
          <w:sz w:val="20"/>
          <w:szCs w:val="20"/>
        </w:rPr>
      </w:pPr>
      <w:r w:rsidRPr="00D511D1">
        <w:rPr>
          <w:sz w:val="20"/>
          <w:szCs w:val="20"/>
        </w:rPr>
        <w:t>Requests and inquiries concerning reproduction and other rights to use are to be sent to the Communication Branch, Department of Health, GPO Box 9848, Canberra ACT 2601, or via e-mail to corporatecomms@health.gov.au.</w:t>
      </w:r>
    </w:p>
    <w:sectPr w:rsidR="004B69D5" w:rsidRPr="00D511D1" w:rsidSect="000626B9">
      <w:footerReference w:type="default" r:id="rId13"/>
      <w:headerReference w:type="first" r:id="rId14"/>
      <w:footerReference w:type="first" r:id="rId15"/>
      <w:pgSz w:w="11906" w:h="16838" w:code="9"/>
      <w:pgMar w:top="1134" w:right="992" w:bottom="851" w:left="992" w:header="284" w:footer="244" w:gutter="0"/>
      <w:pgBorders w:offsetFrom="page">
        <w:top w:val="none" w:sz="82" w:space="13" w:color="000000" w:shadow="1" w:frame="1"/>
        <w:left w:val="none" w:sz="0" w:space="27" w:color="881600" w:shadow="1"/>
        <w:bottom w:val="none" w:sz="0" w:space="0" w:color="855400" w:shadow="1"/>
        <w:right w:val="none" w:sz="25" w:space="4" w:color="000040" w:shadow="1" w:frame="1"/>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4750" w:rsidRDefault="005E4750" w:rsidP="009F6FF4">
      <w:r>
        <w:separator/>
      </w:r>
    </w:p>
  </w:endnote>
  <w:endnote w:type="continuationSeparator" w:id="0">
    <w:p w:rsidR="005E4750" w:rsidRDefault="005E4750"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750" w:rsidRPr="00692AC3" w:rsidRDefault="005E4750" w:rsidP="00692AC3">
    <w:pPr>
      <w:pStyle w:val="Footer"/>
      <w:tabs>
        <w:tab w:val="clear" w:pos="4513"/>
        <w:tab w:val="clear" w:pos="9026"/>
        <w:tab w:val="left" w:pos="1134"/>
        <w:tab w:val="left" w:pos="4820"/>
        <w:tab w:val="left" w:pos="6663"/>
      </w:tabs>
      <w:ind w:left="-284" w:right="-568"/>
      <w:rPr>
        <w:sz w:val="14"/>
        <w:szCs w:val="16"/>
      </w:rPr>
    </w:pPr>
    <w:r w:rsidRPr="00692AC3">
      <w:rPr>
        <w:rFonts w:eastAsiaTheme="majorEastAsia"/>
        <w:sz w:val="14"/>
        <w:szCs w:val="16"/>
      </w:rPr>
      <w:t xml:space="preserve">pg. </w:t>
    </w:r>
    <w:r w:rsidRPr="00692AC3">
      <w:rPr>
        <w:rFonts w:eastAsiaTheme="minorEastAsia"/>
        <w:sz w:val="14"/>
        <w:szCs w:val="16"/>
      </w:rPr>
      <w:fldChar w:fldCharType="begin"/>
    </w:r>
    <w:r w:rsidRPr="00692AC3">
      <w:rPr>
        <w:sz w:val="14"/>
        <w:szCs w:val="16"/>
      </w:rPr>
      <w:instrText xml:space="preserve"> PAGE    \* MERGEFORMAT </w:instrText>
    </w:r>
    <w:r w:rsidRPr="00692AC3">
      <w:rPr>
        <w:rFonts w:eastAsiaTheme="minorEastAsia"/>
        <w:sz w:val="14"/>
        <w:szCs w:val="16"/>
      </w:rPr>
      <w:fldChar w:fldCharType="separate"/>
    </w:r>
    <w:r w:rsidR="00A90A79" w:rsidRPr="00A90A79">
      <w:rPr>
        <w:rFonts w:eastAsiaTheme="majorEastAsia"/>
        <w:noProof/>
        <w:sz w:val="14"/>
        <w:szCs w:val="16"/>
      </w:rPr>
      <w:t>6</w:t>
    </w:r>
    <w:r w:rsidRPr="00692AC3">
      <w:rPr>
        <w:rFonts w:eastAsiaTheme="majorEastAsia"/>
        <w:noProof/>
        <w:sz w:val="14"/>
        <w:szCs w:val="16"/>
      </w:rPr>
      <w:fldChar w:fldCharType="end"/>
    </w:r>
    <w:r w:rsidRPr="00692AC3">
      <w:rPr>
        <w:sz w:val="14"/>
        <w:szCs w:val="16"/>
      </w:rPr>
      <w:t xml:space="preserve"> </w:t>
    </w:r>
    <w:r>
      <w:rPr>
        <w:sz w:val="14"/>
        <w:szCs w:val="16"/>
      </w:rPr>
      <w:tab/>
    </w:r>
    <w:r w:rsidRPr="00692AC3">
      <w:rPr>
        <w:sz w:val="14"/>
        <w:szCs w:val="16"/>
      </w:rPr>
      <w:t xml:space="preserve">Contact: </w:t>
    </w:r>
    <w:hyperlink r:id="rId1" w:history="1">
      <w:r w:rsidRPr="00692AC3">
        <w:rPr>
          <w:rStyle w:val="Hyperlink"/>
          <w:color w:val="auto"/>
          <w:sz w:val="14"/>
          <w:szCs w:val="16"/>
          <w:u w:val="none"/>
        </w:rPr>
        <w:t>healthworkforcedata@health.gov.au</w:t>
      </w:r>
    </w:hyperlink>
    <w:r w:rsidRPr="00692AC3">
      <w:rPr>
        <w:sz w:val="14"/>
        <w:szCs w:val="16"/>
      </w:rPr>
      <w:tab/>
    </w:r>
    <w:r>
      <w:rPr>
        <w:sz w:val="14"/>
        <w:szCs w:val="16"/>
      </w:rPr>
      <w:t>October</w:t>
    </w:r>
    <w:r w:rsidRPr="00692AC3">
      <w:rPr>
        <w:sz w:val="14"/>
        <w:szCs w:val="16"/>
      </w:rPr>
      <w:t xml:space="preserve"> 2017</w:t>
    </w:r>
    <w:r w:rsidRPr="00692AC3">
      <w:rPr>
        <w:sz w:val="14"/>
        <w:szCs w:val="16"/>
      </w:rPr>
      <w:tab/>
      <w:t xml:space="preserve">NHWDS Data Tool and Resources: </w:t>
    </w:r>
    <w:hyperlink r:id="rId2" w:history="1">
      <w:r w:rsidRPr="00692AC3">
        <w:rPr>
          <w:rStyle w:val="Hyperlink"/>
          <w:color w:val="auto"/>
          <w:sz w:val="14"/>
          <w:szCs w:val="16"/>
          <w:u w:val="none"/>
        </w:rPr>
        <w:t>http://data.hwa.gov.au</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750" w:rsidRPr="00692AC3" w:rsidRDefault="005E4750" w:rsidP="00692AC3">
    <w:pPr>
      <w:pStyle w:val="Footer"/>
      <w:tabs>
        <w:tab w:val="clear" w:pos="4513"/>
        <w:tab w:val="clear" w:pos="9026"/>
        <w:tab w:val="left" w:pos="1134"/>
        <w:tab w:val="left" w:pos="4820"/>
        <w:tab w:val="left" w:pos="6663"/>
      </w:tabs>
      <w:ind w:left="-284" w:right="-568"/>
      <w:rPr>
        <w:sz w:val="14"/>
        <w:szCs w:val="16"/>
      </w:rPr>
    </w:pPr>
    <w:r w:rsidRPr="00692AC3">
      <w:rPr>
        <w:rFonts w:eastAsiaTheme="majorEastAsia"/>
        <w:sz w:val="14"/>
        <w:szCs w:val="16"/>
      </w:rPr>
      <w:t xml:space="preserve">pg. </w:t>
    </w:r>
    <w:r w:rsidRPr="00692AC3">
      <w:rPr>
        <w:rFonts w:eastAsiaTheme="minorEastAsia"/>
        <w:sz w:val="14"/>
        <w:szCs w:val="16"/>
      </w:rPr>
      <w:fldChar w:fldCharType="begin"/>
    </w:r>
    <w:r w:rsidRPr="00692AC3">
      <w:rPr>
        <w:sz w:val="14"/>
        <w:szCs w:val="16"/>
      </w:rPr>
      <w:instrText xml:space="preserve"> PAGE    \* MERGEFORMAT </w:instrText>
    </w:r>
    <w:r w:rsidRPr="00692AC3">
      <w:rPr>
        <w:rFonts w:eastAsiaTheme="minorEastAsia"/>
        <w:sz w:val="14"/>
        <w:szCs w:val="16"/>
      </w:rPr>
      <w:fldChar w:fldCharType="separate"/>
    </w:r>
    <w:r w:rsidR="006C145E" w:rsidRPr="006C145E">
      <w:rPr>
        <w:rFonts w:eastAsiaTheme="majorEastAsia"/>
        <w:noProof/>
        <w:sz w:val="14"/>
        <w:szCs w:val="16"/>
      </w:rPr>
      <w:t>1</w:t>
    </w:r>
    <w:r w:rsidRPr="00692AC3">
      <w:rPr>
        <w:rFonts w:eastAsiaTheme="majorEastAsia"/>
        <w:noProof/>
        <w:sz w:val="14"/>
        <w:szCs w:val="16"/>
      </w:rPr>
      <w:fldChar w:fldCharType="end"/>
    </w:r>
    <w:r w:rsidRPr="00692AC3">
      <w:rPr>
        <w:sz w:val="14"/>
        <w:szCs w:val="16"/>
      </w:rPr>
      <w:t xml:space="preserve"> </w:t>
    </w:r>
    <w:r>
      <w:rPr>
        <w:sz w:val="14"/>
        <w:szCs w:val="16"/>
      </w:rPr>
      <w:tab/>
    </w:r>
    <w:r w:rsidRPr="00692AC3">
      <w:rPr>
        <w:sz w:val="14"/>
        <w:szCs w:val="16"/>
      </w:rPr>
      <w:t xml:space="preserve">Contact: </w:t>
    </w:r>
    <w:hyperlink r:id="rId1" w:history="1">
      <w:r w:rsidRPr="00692AC3">
        <w:rPr>
          <w:rStyle w:val="Hyperlink"/>
          <w:color w:val="auto"/>
          <w:sz w:val="14"/>
          <w:szCs w:val="16"/>
          <w:u w:val="none"/>
        </w:rPr>
        <w:t>healthworkforcedata@health.gov.au</w:t>
      </w:r>
    </w:hyperlink>
    <w:r w:rsidRPr="00692AC3">
      <w:rPr>
        <w:sz w:val="14"/>
        <w:szCs w:val="16"/>
      </w:rPr>
      <w:tab/>
    </w:r>
    <w:r>
      <w:rPr>
        <w:sz w:val="14"/>
        <w:szCs w:val="16"/>
      </w:rPr>
      <w:t>October</w:t>
    </w:r>
    <w:r w:rsidRPr="00692AC3">
      <w:rPr>
        <w:sz w:val="14"/>
        <w:szCs w:val="16"/>
      </w:rPr>
      <w:t xml:space="preserve"> 2017</w:t>
    </w:r>
    <w:r w:rsidRPr="00692AC3">
      <w:rPr>
        <w:sz w:val="14"/>
        <w:szCs w:val="16"/>
      </w:rPr>
      <w:tab/>
      <w:t xml:space="preserve">NHWDS Data Tool and Resources: </w:t>
    </w:r>
    <w:hyperlink r:id="rId2" w:history="1">
      <w:r w:rsidRPr="00692AC3">
        <w:rPr>
          <w:rStyle w:val="Hyperlink"/>
          <w:color w:val="auto"/>
          <w:sz w:val="14"/>
          <w:szCs w:val="16"/>
          <w:u w:val="none"/>
        </w:rPr>
        <w:t>http://data.hwa.gov.au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4750" w:rsidRDefault="005E4750" w:rsidP="009F6FF4">
      <w:r>
        <w:separator/>
      </w:r>
    </w:p>
  </w:footnote>
  <w:footnote w:type="continuationSeparator" w:id="0">
    <w:p w:rsidR="005E4750" w:rsidRDefault="005E4750"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26B9" w:rsidRPr="001F61DF" w:rsidRDefault="000626B9" w:rsidP="000626B9">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0626B9" w:rsidRPr="00EB7D33" w:rsidRDefault="000626B9" w:rsidP="000626B9">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nsid w:val="002A7B9C"/>
    <w:multiLevelType w:val="hybridMultilevel"/>
    <w:tmpl w:val="AC80447C"/>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
    <w:nsid w:val="0904059B"/>
    <w:multiLevelType w:val="hybridMultilevel"/>
    <w:tmpl w:val="A3CC43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9D56C75"/>
    <w:multiLevelType w:val="hybridMultilevel"/>
    <w:tmpl w:val="1F1E31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C147A43"/>
    <w:multiLevelType w:val="multilevel"/>
    <w:tmpl w:val="52DAD9D0"/>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10402E"/>
    <w:multiLevelType w:val="hybridMultilevel"/>
    <w:tmpl w:val="8432E77A"/>
    <w:lvl w:ilvl="0" w:tplc="CE74BFB4">
      <w:start w:val="1"/>
      <w:numFmt w:val="lowerLetter"/>
      <w:lvlText w:val="(%1)"/>
      <w:lvlJc w:val="left"/>
      <w:pPr>
        <w:ind w:left="360" w:hanging="360"/>
      </w:pPr>
      <w:rPr>
        <w:rFonts w:hint="default"/>
        <w:sz w:val="12"/>
        <w:szCs w:val="12"/>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nsid w:val="0FBC5EA8"/>
    <w:multiLevelType w:val="hybridMultilevel"/>
    <w:tmpl w:val="40F4511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A380481"/>
    <w:multiLevelType w:val="hybridMultilevel"/>
    <w:tmpl w:val="F014C646"/>
    <w:lvl w:ilvl="0" w:tplc="0C090017">
      <w:start w:val="1"/>
      <w:numFmt w:val="lowerLetter"/>
      <w:lvlText w:val="%1)"/>
      <w:lvlJc w:val="left"/>
      <w:pPr>
        <w:ind w:left="1430" w:hanging="360"/>
      </w:pPr>
    </w:lvl>
    <w:lvl w:ilvl="1" w:tplc="0C090019" w:tentative="1">
      <w:start w:val="1"/>
      <w:numFmt w:val="lowerLetter"/>
      <w:lvlText w:val="%2."/>
      <w:lvlJc w:val="left"/>
      <w:pPr>
        <w:ind w:left="2150" w:hanging="360"/>
      </w:pPr>
    </w:lvl>
    <w:lvl w:ilvl="2" w:tplc="0C09001B" w:tentative="1">
      <w:start w:val="1"/>
      <w:numFmt w:val="lowerRoman"/>
      <w:lvlText w:val="%3."/>
      <w:lvlJc w:val="right"/>
      <w:pPr>
        <w:ind w:left="2870" w:hanging="180"/>
      </w:pPr>
    </w:lvl>
    <w:lvl w:ilvl="3" w:tplc="0C09000F" w:tentative="1">
      <w:start w:val="1"/>
      <w:numFmt w:val="decimal"/>
      <w:lvlText w:val="%4."/>
      <w:lvlJc w:val="left"/>
      <w:pPr>
        <w:ind w:left="3590" w:hanging="360"/>
      </w:pPr>
    </w:lvl>
    <w:lvl w:ilvl="4" w:tplc="0C090019" w:tentative="1">
      <w:start w:val="1"/>
      <w:numFmt w:val="lowerLetter"/>
      <w:lvlText w:val="%5."/>
      <w:lvlJc w:val="left"/>
      <w:pPr>
        <w:ind w:left="4310" w:hanging="360"/>
      </w:pPr>
    </w:lvl>
    <w:lvl w:ilvl="5" w:tplc="0C09001B" w:tentative="1">
      <w:start w:val="1"/>
      <w:numFmt w:val="lowerRoman"/>
      <w:lvlText w:val="%6."/>
      <w:lvlJc w:val="right"/>
      <w:pPr>
        <w:ind w:left="5030" w:hanging="180"/>
      </w:pPr>
    </w:lvl>
    <w:lvl w:ilvl="6" w:tplc="0C09000F" w:tentative="1">
      <w:start w:val="1"/>
      <w:numFmt w:val="decimal"/>
      <w:lvlText w:val="%7."/>
      <w:lvlJc w:val="left"/>
      <w:pPr>
        <w:ind w:left="5750" w:hanging="360"/>
      </w:pPr>
    </w:lvl>
    <w:lvl w:ilvl="7" w:tplc="0C090019" w:tentative="1">
      <w:start w:val="1"/>
      <w:numFmt w:val="lowerLetter"/>
      <w:lvlText w:val="%8."/>
      <w:lvlJc w:val="left"/>
      <w:pPr>
        <w:ind w:left="6470" w:hanging="360"/>
      </w:pPr>
    </w:lvl>
    <w:lvl w:ilvl="8" w:tplc="0C09001B" w:tentative="1">
      <w:start w:val="1"/>
      <w:numFmt w:val="lowerRoman"/>
      <w:lvlText w:val="%9."/>
      <w:lvlJc w:val="right"/>
      <w:pPr>
        <w:ind w:left="7190" w:hanging="180"/>
      </w:pPr>
    </w:lvl>
  </w:abstractNum>
  <w:abstractNum w:abstractNumId="7">
    <w:nsid w:val="1CA64A64"/>
    <w:multiLevelType w:val="hybridMultilevel"/>
    <w:tmpl w:val="51269E3C"/>
    <w:lvl w:ilvl="0" w:tplc="1292EA7E">
      <w:start w:val="1"/>
      <w:numFmt w:val="lowerLetter"/>
      <w:lvlText w:val="(%1)"/>
      <w:lvlJc w:val="left"/>
      <w:pPr>
        <w:ind w:left="360" w:hanging="360"/>
      </w:pPr>
      <w:rPr>
        <w:rFonts w:hint="default"/>
        <w:sz w:val="16"/>
        <w:szCs w:val="16"/>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nsid w:val="1ED453CE"/>
    <w:multiLevelType w:val="hybridMultilevel"/>
    <w:tmpl w:val="A028AD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FB515E1"/>
    <w:multiLevelType w:val="hybridMultilevel"/>
    <w:tmpl w:val="006EC4D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0">
    <w:nsid w:val="23CB6155"/>
    <w:multiLevelType w:val="hybridMultilevel"/>
    <w:tmpl w:val="30860FE8"/>
    <w:lvl w:ilvl="0" w:tplc="ABA0B28C">
      <w:start w:val="1"/>
      <w:numFmt w:val="lowerLetter"/>
      <w:lvlText w:val="(%1)"/>
      <w:lvlJc w:val="left"/>
      <w:pPr>
        <w:ind w:left="383" w:hanging="360"/>
      </w:pPr>
      <w:rPr>
        <w:rFonts w:hint="default"/>
      </w:rPr>
    </w:lvl>
    <w:lvl w:ilvl="1" w:tplc="0C090019" w:tentative="1">
      <w:start w:val="1"/>
      <w:numFmt w:val="lowerLetter"/>
      <w:lvlText w:val="%2."/>
      <w:lvlJc w:val="left"/>
      <w:pPr>
        <w:ind w:left="1103" w:hanging="360"/>
      </w:pPr>
    </w:lvl>
    <w:lvl w:ilvl="2" w:tplc="0C09001B" w:tentative="1">
      <w:start w:val="1"/>
      <w:numFmt w:val="lowerRoman"/>
      <w:lvlText w:val="%3."/>
      <w:lvlJc w:val="right"/>
      <w:pPr>
        <w:ind w:left="1823" w:hanging="180"/>
      </w:pPr>
    </w:lvl>
    <w:lvl w:ilvl="3" w:tplc="0C09000F" w:tentative="1">
      <w:start w:val="1"/>
      <w:numFmt w:val="decimal"/>
      <w:lvlText w:val="%4."/>
      <w:lvlJc w:val="left"/>
      <w:pPr>
        <w:ind w:left="2543" w:hanging="360"/>
      </w:pPr>
    </w:lvl>
    <w:lvl w:ilvl="4" w:tplc="0C090019" w:tentative="1">
      <w:start w:val="1"/>
      <w:numFmt w:val="lowerLetter"/>
      <w:lvlText w:val="%5."/>
      <w:lvlJc w:val="left"/>
      <w:pPr>
        <w:ind w:left="3263" w:hanging="360"/>
      </w:pPr>
    </w:lvl>
    <w:lvl w:ilvl="5" w:tplc="0C09001B" w:tentative="1">
      <w:start w:val="1"/>
      <w:numFmt w:val="lowerRoman"/>
      <w:lvlText w:val="%6."/>
      <w:lvlJc w:val="right"/>
      <w:pPr>
        <w:ind w:left="3983" w:hanging="180"/>
      </w:pPr>
    </w:lvl>
    <w:lvl w:ilvl="6" w:tplc="0C09000F" w:tentative="1">
      <w:start w:val="1"/>
      <w:numFmt w:val="decimal"/>
      <w:lvlText w:val="%7."/>
      <w:lvlJc w:val="left"/>
      <w:pPr>
        <w:ind w:left="4703" w:hanging="360"/>
      </w:pPr>
    </w:lvl>
    <w:lvl w:ilvl="7" w:tplc="0C090019" w:tentative="1">
      <w:start w:val="1"/>
      <w:numFmt w:val="lowerLetter"/>
      <w:lvlText w:val="%8."/>
      <w:lvlJc w:val="left"/>
      <w:pPr>
        <w:ind w:left="5423" w:hanging="360"/>
      </w:pPr>
    </w:lvl>
    <w:lvl w:ilvl="8" w:tplc="0C09001B" w:tentative="1">
      <w:start w:val="1"/>
      <w:numFmt w:val="lowerRoman"/>
      <w:lvlText w:val="%9."/>
      <w:lvlJc w:val="right"/>
      <w:pPr>
        <w:ind w:left="6143" w:hanging="180"/>
      </w:pPr>
    </w:lvl>
  </w:abstractNum>
  <w:abstractNum w:abstractNumId="11">
    <w:nsid w:val="431A7E9F"/>
    <w:multiLevelType w:val="hybridMultilevel"/>
    <w:tmpl w:val="8E90A552"/>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454C4532"/>
    <w:multiLevelType w:val="hybridMultilevel"/>
    <w:tmpl w:val="A0F20C24"/>
    <w:lvl w:ilvl="0" w:tplc="47227986">
      <w:numFmt w:val="bullet"/>
      <w:lvlText w:val=""/>
      <w:lvlJc w:val="left"/>
      <w:pPr>
        <w:ind w:left="644" w:hanging="360"/>
      </w:pPr>
      <w:rPr>
        <w:rFonts w:ascii="Symbol" w:eastAsia="Times New Roman" w:hAnsi="Symbol" w:cs="Times New Roman"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3">
    <w:nsid w:val="4C354C82"/>
    <w:multiLevelType w:val="hybridMultilevel"/>
    <w:tmpl w:val="951CFC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1E32DD1"/>
    <w:multiLevelType w:val="hybridMultilevel"/>
    <w:tmpl w:val="C4767772"/>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DE01BC4"/>
    <w:multiLevelType w:val="hybridMultilevel"/>
    <w:tmpl w:val="D1E6076C"/>
    <w:lvl w:ilvl="0" w:tplc="0C090001">
      <w:start w:val="1"/>
      <w:numFmt w:val="bullet"/>
      <w:lvlText w:val=""/>
      <w:lvlJc w:val="left"/>
      <w:pPr>
        <w:ind w:left="862" w:hanging="360"/>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6">
    <w:nsid w:val="6002050B"/>
    <w:multiLevelType w:val="hybridMultilevel"/>
    <w:tmpl w:val="AF969CF2"/>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17"/>
  </w:num>
  <w:num w:numId="2">
    <w:abstractNumId w:val="6"/>
  </w:num>
  <w:num w:numId="3">
    <w:abstractNumId w:val="18"/>
  </w:num>
  <w:num w:numId="4">
    <w:abstractNumId w:val="14"/>
  </w:num>
  <w:num w:numId="5">
    <w:abstractNumId w:val="7"/>
  </w:num>
  <w:num w:numId="6">
    <w:abstractNumId w:val="4"/>
  </w:num>
  <w:num w:numId="7">
    <w:abstractNumId w:val="0"/>
  </w:num>
  <w:num w:numId="8">
    <w:abstractNumId w:val="15"/>
  </w:num>
  <w:num w:numId="9">
    <w:abstractNumId w:val="2"/>
  </w:num>
  <w:num w:numId="10">
    <w:abstractNumId w:val="1"/>
  </w:num>
  <w:num w:numId="11">
    <w:abstractNumId w:val="16"/>
  </w:num>
  <w:num w:numId="12">
    <w:abstractNumId w:val="9"/>
  </w:num>
  <w:num w:numId="13">
    <w:abstractNumId w:val="8"/>
  </w:num>
  <w:num w:numId="14">
    <w:abstractNumId w:val="10"/>
  </w:num>
  <w:num w:numId="15">
    <w:abstractNumId w:val="11"/>
  </w:num>
  <w:num w:numId="16">
    <w:abstractNumId w:val="3"/>
  </w:num>
  <w:num w:numId="17">
    <w:abstractNumId w:val="5"/>
  </w:num>
  <w:num w:numId="18">
    <w:abstractNumId w:val="13"/>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0B23"/>
    <w:rsid w:val="00003743"/>
    <w:rsid w:val="00003A7A"/>
    <w:rsid w:val="00010592"/>
    <w:rsid w:val="0002622C"/>
    <w:rsid w:val="00026AF3"/>
    <w:rsid w:val="00030044"/>
    <w:rsid w:val="0003766D"/>
    <w:rsid w:val="000466F9"/>
    <w:rsid w:val="000534E9"/>
    <w:rsid w:val="00053532"/>
    <w:rsid w:val="000626B9"/>
    <w:rsid w:val="00063ADA"/>
    <w:rsid w:val="00067456"/>
    <w:rsid w:val="0007464F"/>
    <w:rsid w:val="00075B9F"/>
    <w:rsid w:val="000777D8"/>
    <w:rsid w:val="00087A37"/>
    <w:rsid w:val="00091AAC"/>
    <w:rsid w:val="00093E4C"/>
    <w:rsid w:val="000A13D7"/>
    <w:rsid w:val="000A1CA9"/>
    <w:rsid w:val="000B06AB"/>
    <w:rsid w:val="000B63E1"/>
    <w:rsid w:val="000C316E"/>
    <w:rsid w:val="000C3BC2"/>
    <w:rsid w:val="000D31E8"/>
    <w:rsid w:val="000D4139"/>
    <w:rsid w:val="000E2AFE"/>
    <w:rsid w:val="000F6449"/>
    <w:rsid w:val="000F69B1"/>
    <w:rsid w:val="000F76D8"/>
    <w:rsid w:val="00101D93"/>
    <w:rsid w:val="00104422"/>
    <w:rsid w:val="001062D1"/>
    <w:rsid w:val="00125796"/>
    <w:rsid w:val="0013156D"/>
    <w:rsid w:val="001373C7"/>
    <w:rsid w:val="001435D5"/>
    <w:rsid w:val="001436EB"/>
    <w:rsid w:val="0015649F"/>
    <w:rsid w:val="00161FC2"/>
    <w:rsid w:val="001632F8"/>
    <w:rsid w:val="00175528"/>
    <w:rsid w:val="00176BE5"/>
    <w:rsid w:val="00176FFF"/>
    <w:rsid w:val="00185093"/>
    <w:rsid w:val="0019297D"/>
    <w:rsid w:val="00193FD9"/>
    <w:rsid w:val="001A324E"/>
    <w:rsid w:val="001B125B"/>
    <w:rsid w:val="001B3443"/>
    <w:rsid w:val="001B5D61"/>
    <w:rsid w:val="001C7548"/>
    <w:rsid w:val="001D1102"/>
    <w:rsid w:val="001D2627"/>
    <w:rsid w:val="001D5BCC"/>
    <w:rsid w:val="001E23BE"/>
    <w:rsid w:val="001E6E7C"/>
    <w:rsid w:val="00200581"/>
    <w:rsid w:val="00200CC8"/>
    <w:rsid w:val="00210013"/>
    <w:rsid w:val="002152A0"/>
    <w:rsid w:val="00221D67"/>
    <w:rsid w:val="00222E8E"/>
    <w:rsid w:val="002271E0"/>
    <w:rsid w:val="00246289"/>
    <w:rsid w:val="00250062"/>
    <w:rsid w:val="002506D3"/>
    <w:rsid w:val="00252718"/>
    <w:rsid w:val="00252D7A"/>
    <w:rsid w:val="00266540"/>
    <w:rsid w:val="002671FA"/>
    <w:rsid w:val="00272C9B"/>
    <w:rsid w:val="002808E0"/>
    <w:rsid w:val="00281028"/>
    <w:rsid w:val="00281E3D"/>
    <w:rsid w:val="002835CB"/>
    <w:rsid w:val="00285EA1"/>
    <w:rsid w:val="002861CD"/>
    <w:rsid w:val="00294E52"/>
    <w:rsid w:val="00295D0F"/>
    <w:rsid w:val="002A0CA5"/>
    <w:rsid w:val="002A55CD"/>
    <w:rsid w:val="002B4E36"/>
    <w:rsid w:val="002B69B4"/>
    <w:rsid w:val="002C1EE1"/>
    <w:rsid w:val="002C58CD"/>
    <w:rsid w:val="002C7717"/>
    <w:rsid w:val="002D07B4"/>
    <w:rsid w:val="002D680D"/>
    <w:rsid w:val="002E089B"/>
    <w:rsid w:val="002E6D2D"/>
    <w:rsid w:val="002F3AE3"/>
    <w:rsid w:val="003013F4"/>
    <w:rsid w:val="0030714C"/>
    <w:rsid w:val="0030786C"/>
    <w:rsid w:val="003137FD"/>
    <w:rsid w:val="00315C7D"/>
    <w:rsid w:val="00317F2B"/>
    <w:rsid w:val="00325A4B"/>
    <w:rsid w:val="00330252"/>
    <w:rsid w:val="00333DB6"/>
    <w:rsid w:val="00342E2B"/>
    <w:rsid w:val="00342F97"/>
    <w:rsid w:val="00356AB8"/>
    <w:rsid w:val="00361558"/>
    <w:rsid w:val="003653C7"/>
    <w:rsid w:val="003721F6"/>
    <w:rsid w:val="003723C9"/>
    <w:rsid w:val="00373B23"/>
    <w:rsid w:val="003741A3"/>
    <w:rsid w:val="003753A3"/>
    <w:rsid w:val="00385369"/>
    <w:rsid w:val="0039272D"/>
    <w:rsid w:val="003A2F20"/>
    <w:rsid w:val="003A3C70"/>
    <w:rsid w:val="003A5043"/>
    <w:rsid w:val="003B0943"/>
    <w:rsid w:val="003B0BA1"/>
    <w:rsid w:val="003B20DA"/>
    <w:rsid w:val="003B66AE"/>
    <w:rsid w:val="003D01CA"/>
    <w:rsid w:val="003D1667"/>
    <w:rsid w:val="003D17F9"/>
    <w:rsid w:val="003D45D1"/>
    <w:rsid w:val="003E6CDF"/>
    <w:rsid w:val="003F1D4B"/>
    <w:rsid w:val="004151BA"/>
    <w:rsid w:val="00420208"/>
    <w:rsid w:val="004217FD"/>
    <w:rsid w:val="00426463"/>
    <w:rsid w:val="004323BD"/>
    <w:rsid w:val="00442B2D"/>
    <w:rsid w:val="00442E80"/>
    <w:rsid w:val="00445BFD"/>
    <w:rsid w:val="004471B4"/>
    <w:rsid w:val="00452EBC"/>
    <w:rsid w:val="00463960"/>
    <w:rsid w:val="00464D94"/>
    <w:rsid w:val="00466752"/>
    <w:rsid w:val="00466DBA"/>
    <w:rsid w:val="00471A25"/>
    <w:rsid w:val="00474B09"/>
    <w:rsid w:val="00476479"/>
    <w:rsid w:val="00476C17"/>
    <w:rsid w:val="004778AC"/>
    <w:rsid w:val="0048183D"/>
    <w:rsid w:val="00481EB7"/>
    <w:rsid w:val="004867E2"/>
    <w:rsid w:val="004945D3"/>
    <w:rsid w:val="0049639C"/>
    <w:rsid w:val="004976DC"/>
    <w:rsid w:val="004A15C5"/>
    <w:rsid w:val="004A252D"/>
    <w:rsid w:val="004B0872"/>
    <w:rsid w:val="004B17CF"/>
    <w:rsid w:val="004B4F8F"/>
    <w:rsid w:val="004B69D5"/>
    <w:rsid w:val="004B720E"/>
    <w:rsid w:val="004D52A7"/>
    <w:rsid w:val="004D5FCF"/>
    <w:rsid w:val="004D642F"/>
    <w:rsid w:val="004E018B"/>
    <w:rsid w:val="004E1946"/>
    <w:rsid w:val="004E2E72"/>
    <w:rsid w:val="004F20BE"/>
    <w:rsid w:val="00511E43"/>
    <w:rsid w:val="005126F0"/>
    <w:rsid w:val="005127BB"/>
    <w:rsid w:val="00524A1B"/>
    <w:rsid w:val="0052687F"/>
    <w:rsid w:val="005277AD"/>
    <w:rsid w:val="005366E7"/>
    <w:rsid w:val="00540CEA"/>
    <w:rsid w:val="00541E6E"/>
    <w:rsid w:val="00545F6E"/>
    <w:rsid w:val="00546738"/>
    <w:rsid w:val="00564145"/>
    <w:rsid w:val="00564F88"/>
    <w:rsid w:val="005659A6"/>
    <w:rsid w:val="00565B0F"/>
    <w:rsid w:val="00570992"/>
    <w:rsid w:val="005720C0"/>
    <w:rsid w:val="005724DC"/>
    <w:rsid w:val="00573E75"/>
    <w:rsid w:val="005746C4"/>
    <w:rsid w:val="00575EAE"/>
    <w:rsid w:val="005772D9"/>
    <w:rsid w:val="00582702"/>
    <w:rsid w:val="00586388"/>
    <w:rsid w:val="00596F08"/>
    <w:rsid w:val="005A1273"/>
    <w:rsid w:val="005B6D58"/>
    <w:rsid w:val="005C2927"/>
    <w:rsid w:val="005D3F58"/>
    <w:rsid w:val="005E4750"/>
    <w:rsid w:val="005E6F71"/>
    <w:rsid w:val="006014BA"/>
    <w:rsid w:val="00601D59"/>
    <w:rsid w:val="0061176B"/>
    <w:rsid w:val="00611BD1"/>
    <w:rsid w:val="0061229E"/>
    <w:rsid w:val="00617C1A"/>
    <w:rsid w:val="00622FB8"/>
    <w:rsid w:val="00635396"/>
    <w:rsid w:val="00640D1A"/>
    <w:rsid w:val="006468C5"/>
    <w:rsid w:val="00647963"/>
    <w:rsid w:val="00654085"/>
    <w:rsid w:val="0066248B"/>
    <w:rsid w:val="0066560F"/>
    <w:rsid w:val="006659B7"/>
    <w:rsid w:val="00665CEE"/>
    <w:rsid w:val="00673D3E"/>
    <w:rsid w:val="00676584"/>
    <w:rsid w:val="00676817"/>
    <w:rsid w:val="00680368"/>
    <w:rsid w:val="00687883"/>
    <w:rsid w:val="00692AC3"/>
    <w:rsid w:val="006937DD"/>
    <w:rsid w:val="00697C1A"/>
    <w:rsid w:val="006A04FA"/>
    <w:rsid w:val="006A3A47"/>
    <w:rsid w:val="006A6EC1"/>
    <w:rsid w:val="006B4591"/>
    <w:rsid w:val="006C145E"/>
    <w:rsid w:val="006C30EF"/>
    <w:rsid w:val="006C5605"/>
    <w:rsid w:val="006C7967"/>
    <w:rsid w:val="006D7905"/>
    <w:rsid w:val="006E0B59"/>
    <w:rsid w:val="006E2D11"/>
    <w:rsid w:val="006E619E"/>
    <w:rsid w:val="006F13C4"/>
    <w:rsid w:val="006F4E8C"/>
    <w:rsid w:val="006F77F9"/>
    <w:rsid w:val="006F7D85"/>
    <w:rsid w:val="00702576"/>
    <w:rsid w:val="00715280"/>
    <w:rsid w:val="00715621"/>
    <w:rsid w:val="007165AC"/>
    <w:rsid w:val="00717524"/>
    <w:rsid w:val="007231E1"/>
    <w:rsid w:val="007257CB"/>
    <w:rsid w:val="0072701A"/>
    <w:rsid w:val="007273A5"/>
    <w:rsid w:val="00730088"/>
    <w:rsid w:val="00731010"/>
    <w:rsid w:val="007317AF"/>
    <w:rsid w:val="00733016"/>
    <w:rsid w:val="00742A73"/>
    <w:rsid w:val="0075074A"/>
    <w:rsid w:val="007560E3"/>
    <w:rsid w:val="00764FA0"/>
    <w:rsid w:val="00765804"/>
    <w:rsid w:val="007708B6"/>
    <w:rsid w:val="007714A2"/>
    <w:rsid w:val="00773602"/>
    <w:rsid w:val="00780B3A"/>
    <w:rsid w:val="007817E9"/>
    <w:rsid w:val="00782C34"/>
    <w:rsid w:val="00790D37"/>
    <w:rsid w:val="0079488B"/>
    <w:rsid w:val="00794A7F"/>
    <w:rsid w:val="00796BC1"/>
    <w:rsid w:val="007A2A4E"/>
    <w:rsid w:val="007A2D28"/>
    <w:rsid w:val="007B4590"/>
    <w:rsid w:val="007B5410"/>
    <w:rsid w:val="007B617F"/>
    <w:rsid w:val="007B7353"/>
    <w:rsid w:val="007C16CD"/>
    <w:rsid w:val="007C30EC"/>
    <w:rsid w:val="007C339C"/>
    <w:rsid w:val="007C7A5D"/>
    <w:rsid w:val="007D07F1"/>
    <w:rsid w:val="007E01C5"/>
    <w:rsid w:val="007F25BD"/>
    <w:rsid w:val="007F6C09"/>
    <w:rsid w:val="007F7FF7"/>
    <w:rsid w:val="008139B8"/>
    <w:rsid w:val="0082057F"/>
    <w:rsid w:val="00822EE5"/>
    <w:rsid w:val="008264EB"/>
    <w:rsid w:val="00826F47"/>
    <w:rsid w:val="008353A3"/>
    <w:rsid w:val="00835727"/>
    <w:rsid w:val="0083641C"/>
    <w:rsid w:val="0083763E"/>
    <w:rsid w:val="00840026"/>
    <w:rsid w:val="00843587"/>
    <w:rsid w:val="00845B72"/>
    <w:rsid w:val="00846800"/>
    <w:rsid w:val="0085578D"/>
    <w:rsid w:val="0087748A"/>
    <w:rsid w:val="00877978"/>
    <w:rsid w:val="00882DF2"/>
    <w:rsid w:val="0088654C"/>
    <w:rsid w:val="00890219"/>
    <w:rsid w:val="008948A3"/>
    <w:rsid w:val="008A35C5"/>
    <w:rsid w:val="008A6C8A"/>
    <w:rsid w:val="008B0903"/>
    <w:rsid w:val="008B1920"/>
    <w:rsid w:val="008B19D7"/>
    <w:rsid w:val="008B1DA5"/>
    <w:rsid w:val="008B25C6"/>
    <w:rsid w:val="008D089F"/>
    <w:rsid w:val="008D2DED"/>
    <w:rsid w:val="008D461F"/>
    <w:rsid w:val="008E02A2"/>
    <w:rsid w:val="008E13F5"/>
    <w:rsid w:val="008E4F4B"/>
    <w:rsid w:val="008E5CD9"/>
    <w:rsid w:val="008E7F2E"/>
    <w:rsid w:val="008F0C31"/>
    <w:rsid w:val="00903B83"/>
    <w:rsid w:val="00913205"/>
    <w:rsid w:val="009133D3"/>
    <w:rsid w:val="00915C84"/>
    <w:rsid w:val="009252DF"/>
    <w:rsid w:val="00925F7F"/>
    <w:rsid w:val="00937CAD"/>
    <w:rsid w:val="00940ACD"/>
    <w:rsid w:val="0095090B"/>
    <w:rsid w:val="00951245"/>
    <w:rsid w:val="0095377C"/>
    <w:rsid w:val="00954972"/>
    <w:rsid w:val="009577D3"/>
    <w:rsid w:val="00963307"/>
    <w:rsid w:val="00972B4A"/>
    <w:rsid w:val="009735E8"/>
    <w:rsid w:val="00974D78"/>
    <w:rsid w:val="00990574"/>
    <w:rsid w:val="009A08E7"/>
    <w:rsid w:val="009A0A52"/>
    <w:rsid w:val="009A2D4F"/>
    <w:rsid w:val="009A340D"/>
    <w:rsid w:val="009A5269"/>
    <w:rsid w:val="009B30B2"/>
    <w:rsid w:val="009B7DEB"/>
    <w:rsid w:val="009C2106"/>
    <w:rsid w:val="009C4973"/>
    <w:rsid w:val="009D07C7"/>
    <w:rsid w:val="009D0946"/>
    <w:rsid w:val="009D2779"/>
    <w:rsid w:val="009D39F9"/>
    <w:rsid w:val="009F51CE"/>
    <w:rsid w:val="009F6323"/>
    <w:rsid w:val="009F6FD5"/>
    <w:rsid w:val="009F6FF4"/>
    <w:rsid w:val="009F7D62"/>
    <w:rsid w:val="00A02A99"/>
    <w:rsid w:val="00A03579"/>
    <w:rsid w:val="00A10622"/>
    <w:rsid w:val="00A14BC7"/>
    <w:rsid w:val="00A278A7"/>
    <w:rsid w:val="00A27D27"/>
    <w:rsid w:val="00A3123E"/>
    <w:rsid w:val="00A31F17"/>
    <w:rsid w:val="00A40E65"/>
    <w:rsid w:val="00A4283D"/>
    <w:rsid w:val="00A4456E"/>
    <w:rsid w:val="00A4512D"/>
    <w:rsid w:val="00A51EE4"/>
    <w:rsid w:val="00A535E0"/>
    <w:rsid w:val="00A5463F"/>
    <w:rsid w:val="00A61880"/>
    <w:rsid w:val="00A64C9F"/>
    <w:rsid w:val="00A659DF"/>
    <w:rsid w:val="00A705AF"/>
    <w:rsid w:val="00A74B57"/>
    <w:rsid w:val="00A7768D"/>
    <w:rsid w:val="00A838E8"/>
    <w:rsid w:val="00A83BF7"/>
    <w:rsid w:val="00A84458"/>
    <w:rsid w:val="00A863CD"/>
    <w:rsid w:val="00A90586"/>
    <w:rsid w:val="00A90A79"/>
    <w:rsid w:val="00AA3217"/>
    <w:rsid w:val="00AA4290"/>
    <w:rsid w:val="00AA5BA5"/>
    <w:rsid w:val="00AB2A6E"/>
    <w:rsid w:val="00AB54DE"/>
    <w:rsid w:val="00AB78C9"/>
    <w:rsid w:val="00AC2192"/>
    <w:rsid w:val="00AD45C1"/>
    <w:rsid w:val="00AE7D10"/>
    <w:rsid w:val="00AF3C60"/>
    <w:rsid w:val="00AF435A"/>
    <w:rsid w:val="00AF50FD"/>
    <w:rsid w:val="00AF65FA"/>
    <w:rsid w:val="00AF78CE"/>
    <w:rsid w:val="00B04C74"/>
    <w:rsid w:val="00B07840"/>
    <w:rsid w:val="00B13797"/>
    <w:rsid w:val="00B14950"/>
    <w:rsid w:val="00B2233E"/>
    <w:rsid w:val="00B27C10"/>
    <w:rsid w:val="00B33739"/>
    <w:rsid w:val="00B42851"/>
    <w:rsid w:val="00B45B5F"/>
    <w:rsid w:val="00B45DB4"/>
    <w:rsid w:val="00B5120C"/>
    <w:rsid w:val="00B522D8"/>
    <w:rsid w:val="00B5490D"/>
    <w:rsid w:val="00B55663"/>
    <w:rsid w:val="00B62A40"/>
    <w:rsid w:val="00B64704"/>
    <w:rsid w:val="00B71111"/>
    <w:rsid w:val="00B716C1"/>
    <w:rsid w:val="00B846D3"/>
    <w:rsid w:val="00B86D7E"/>
    <w:rsid w:val="00B90FCF"/>
    <w:rsid w:val="00B931D2"/>
    <w:rsid w:val="00B94C0E"/>
    <w:rsid w:val="00B976FB"/>
    <w:rsid w:val="00BA05CA"/>
    <w:rsid w:val="00BA3027"/>
    <w:rsid w:val="00BA3841"/>
    <w:rsid w:val="00BB4393"/>
    <w:rsid w:val="00BC57C1"/>
    <w:rsid w:val="00BC623F"/>
    <w:rsid w:val="00BC6254"/>
    <w:rsid w:val="00BD41B3"/>
    <w:rsid w:val="00BD7E1F"/>
    <w:rsid w:val="00BE4299"/>
    <w:rsid w:val="00BF0629"/>
    <w:rsid w:val="00BF58EF"/>
    <w:rsid w:val="00C01C28"/>
    <w:rsid w:val="00C036DA"/>
    <w:rsid w:val="00C04C67"/>
    <w:rsid w:val="00C12373"/>
    <w:rsid w:val="00C134C4"/>
    <w:rsid w:val="00C15237"/>
    <w:rsid w:val="00C170F6"/>
    <w:rsid w:val="00C179DD"/>
    <w:rsid w:val="00C216B8"/>
    <w:rsid w:val="00C23AAC"/>
    <w:rsid w:val="00C32964"/>
    <w:rsid w:val="00C47D83"/>
    <w:rsid w:val="00C47D91"/>
    <w:rsid w:val="00C514DC"/>
    <w:rsid w:val="00C56DF9"/>
    <w:rsid w:val="00C6032A"/>
    <w:rsid w:val="00C61535"/>
    <w:rsid w:val="00C662AD"/>
    <w:rsid w:val="00C732ED"/>
    <w:rsid w:val="00C736B7"/>
    <w:rsid w:val="00C805E9"/>
    <w:rsid w:val="00C854F4"/>
    <w:rsid w:val="00C86ED6"/>
    <w:rsid w:val="00C966F4"/>
    <w:rsid w:val="00CA1AAC"/>
    <w:rsid w:val="00CA3927"/>
    <w:rsid w:val="00CA392C"/>
    <w:rsid w:val="00CA6DB7"/>
    <w:rsid w:val="00CB05C2"/>
    <w:rsid w:val="00CB5B1A"/>
    <w:rsid w:val="00CB6AA6"/>
    <w:rsid w:val="00CC38E5"/>
    <w:rsid w:val="00CC6F6F"/>
    <w:rsid w:val="00CC7D89"/>
    <w:rsid w:val="00CD0B6B"/>
    <w:rsid w:val="00CD1F00"/>
    <w:rsid w:val="00CE1612"/>
    <w:rsid w:val="00CF1546"/>
    <w:rsid w:val="00CF378D"/>
    <w:rsid w:val="00CF467C"/>
    <w:rsid w:val="00D01CBC"/>
    <w:rsid w:val="00D06AC2"/>
    <w:rsid w:val="00D12F09"/>
    <w:rsid w:val="00D214C7"/>
    <w:rsid w:val="00D2334D"/>
    <w:rsid w:val="00D30A49"/>
    <w:rsid w:val="00D338EC"/>
    <w:rsid w:val="00D356F3"/>
    <w:rsid w:val="00D3603C"/>
    <w:rsid w:val="00D41257"/>
    <w:rsid w:val="00D45196"/>
    <w:rsid w:val="00D511D1"/>
    <w:rsid w:val="00D53D82"/>
    <w:rsid w:val="00D639DC"/>
    <w:rsid w:val="00D66752"/>
    <w:rsid w:val="00D723CA"/>
    <w:rsid w:val="00D77F44"/>
    <w:rsid w:val="00D82E01"/>
    <w:rsid w:val="00D849A2"/>
    <w:rsid w:val="00D963D1"/>
    <w:rsid w:val="00DA1D3E"/>
    <w:rsid w:val="00DA2B62"/>
    <w:rsid w:val="00DA2CE1"/>
    <w:rsid w:val="00DA2ED0"/>
    <w:rsid w:val="00DA2F67"/>
    <w:rsid w:val="00DA4723"/>
    <w:rsid w:val="00DA4A6E"/>
    <w:rsid w:val="00DB35C5"/>
    <w:rsid w:val="00DC1D27"/>
    <w:rsid w:val="00DC23F3"/>
    <w:rsid w:val="00DC7ACC"/>
    <w:rsid w:val="00DD6E17"/>
    <w:rsid w:val="00DE12CF"/>
    <w:rsid w:val="00DE2F61"/>
    <w:rsid w:val="00DE4B52"/>
    <w:rsid w:val="00DE5095"/>
    <w:rsid w:val="00DF6246"/>
    <w:rsid w:val="00E00C35"/>
    <w:rsid w:val="00E11DCA"/>
    <w:rsid w:val="00E1313F"/>
    <w:rsid w:val="00E14AA3"/>
    <w:rsid w:val="00E166BE"/>
    <w:rsid w:val="00E207F5"/>
    <w:rsid w:val="00E20C05"/>
    <w:rsid w:val="00E21413"/>
    <w:rsid w:val="00E2414F"/>
    <w:rsid w:val="00E24CC4"/>
    <w:rsid w:val="00E30D09"/>
    <w:rsid w:val="00E3243E"/>
    <w:rsid w:val="00E32D83"/>
    <w:rsid w:val="00E42C63"/>
    <w:rsid w:val="00E55D0C"/>
    <w:rsid w:val="00E603BE"/>
    <w:rsid w:val="00E62293"/>
    <w:rsid w:val="00E62B8C"/>
    <w:rsid w:val="00E62E26"/>
    <w:rsid w:val="00E649F5"/>
    <w:rsid w:val="00E74A49"/>
    <w:rsid w:val="00E80120"/>
    <w:rsid w:val="00E813FC"/>
    <w:rsid w:val="00E828D1"/>
    <w:rsid w:val="00E948AB"/>
    <w:rsid w:val="00EA77B2"/>
    <w:rsid w:val="00EA7F6A"/>
    <w:rsid w:val="00EB0E60"/>
    <w:rsid w:val="00EB5919"/>
    <w:rsid w:val="00EB5CF0"/>
    <w:rsid w:val="00EB7381"/>
    <w:rsid w:val="00EC0F81"/>
    <w:rsid w:val="00EC37F8"/>
    <w:rsid w:val="00EC676E"/>
    <w:rsid w:val="00EC6EAC"/>
    <w:rsid w:val="00EC7856"/>
    <w:rsid w:val="00ED23E9"/>
    <w:rsid w:val="00ED4AF2"/>
    <w:rsid w:val="00ED5EA4"/>
    <w:rsid w:val="00ED7283"/>
    <w:rsid w:val="00ED765E"/>
    <w:rsid w:val="00EE25E8"/>
    <w:rsid w:val="00EE57EE"/>
    <w:rsid w:val="00EF379A"/>
    <w:rsid w:val="00F1129C"/>
    <w:rsid w:val="00F30FD0"/>
    <w:rsid w:val="00F32AC0"/>
    <w:rsid w:val="00F34365"/>
    <w:rsid w:val="00F34AA6"/>
    <w:rsid w:val="00F37387"/>
    <w:rsid w:val="00F41CD9"/>
    <w:rsid w:val="00F4360C"/>
    <w:rsid w:val="00F444E0"/>
    <w:rsid w:val="00F501E2"/>
    <w:rsid w:val="00F52202"/>
    <w:rsid w:val="00F5582E"/>
    <w:rsid w:val="00F5638C"/>
    <w:rsid w:val="00F61A22"/>
    <w:rsid w:val="00F67E1F"/>
    <w:rsid w:val="00F70A64"/>
    <w:rsid w:val="00F70F1A"/>
    <w:rsid w:val="00F7288E"/>
    <w:rsid w:val="00F876D0"/>
    <w:rsid w:val="00F91510"/>
    <w:rsid w:val="00FA139C"/>
    <w:rsid w:val="00FA60BA"/>
    <w:rsid w:val="00FB24D2"/>
    <w:rsid w:val="00FB3127"/>
    <w:rsid w:val="00FB7BAF"/>
    <w:rsid w:val="00FD203F"/>
    <w:rsid w:val="00FD20E0"/>
    <w:rsid w:val="00FE2373"/>
    <w:rsid w:val="00FE4C86"/>
    <w:rsid w:val="00FE7F9B"/>
    <w:rsid w:val="00FF626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iPriority="35" w:unhideWhenUsed="1" w:qFormat="1"/>
    <w:lsdException w:name="footnote reference" w:uiPriority="99"/>
    <w:lsdException w:name="Title" w:qFormat="1"/>
    <w:lsdException w:name="Subtitle" w:qFormat="1"/>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link w:val="Heading1Char"/>
    <w:qFormat/>
    <w:rsid w:val="008948A3"/>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aliases w:val="Bullet Point,Bullet point,Bulletr List Paragraph,Content descriptions,FooterText,L,List Bullet 1,List Paragraph Number,List Paragraph1,List Paragraph11,List Paragraph2,List Paragraph21,Listeafsnit1,NFP GP Bulleted List,Recommendation"/>
    <w:basedOn w:val="Normal"/>
    <w:link w:val="ListParagraphChar"/>
    <w:uiPriority w:val="34"/>
    <w:qFormat/>
    <w:rsid w:val="00A4512D"/>
    <w:pPr>
      <w:ind w:left="720"/>
      <w:contextualSpacing/>
    </w:pPr>
  </w:style>
  <w:style w:type="paragraph" w:styleId="Header">
    <w:name w:val="header"/>
    <w:basedOn w:val="Normal"/>
    <w:link w:val="HeaderChar"/>
    <w:uiPriority w:val="99"/>
    <w:rsid w:val="009F6FF4"/>
    <w:pPr>
      <w:tabs>
        <w:tab w:val="center" w:pos="4513"/>
        <w:tab w:val="right" w:pos="9026"/>
      </w:tabs>
    </w:pPr>
  </w:style>
  <w:style w:type="character" w:customStyle="1" w:styleId="HeaderChar">
    <w:name w:val="Header Char"/>
    <w:basedOn w:val="DefaultParagraphFont"/>
    <w:link w:val="Header"/>
    <w:uiPriority w:val="99"/>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FootnoteText">
    <w:name w:val="footnote text"/>
    <w:basedOn w:val="Normal"/>
    <w:link w:val="FootnoteTextChar"/>
    <w:uiPriority w:val="99"/>
    <w:unhideWhenUsed/>
    <w:rsid w:val="00F37387"/>
    <w:pPr>
      <w:spacing w:after="200" w:line="276" w:lineRule="auto"/>
      <w:jc w:val="both"/>
    </w:pPr>
    <w:rPr>
      <w:rFonts w:ascii="Arial" w:eastAsiaTheme="minorHAnsi" w:hAnsi="Arial" w:cstheme="minorBidi"/>
      <w:sz w:val="20"/>
      <w:szCs w:val="20"/>
    </w:rPr>
  </w:style>
  <w:style w:type="character" w:customStyle="1" w:styleId="FootnoteTextChar">
    <w:name w:val="Footnote Text Char"/>
    <w:basedOn w:val="DefaultParagraphFont"/>
    <w:link w:val="FootnoteText"/>
    <w:uiPriority w:val="99"/>
    <w:rsid w:val="00F37387"/>
    <w:rPr>
      <w:rFonts w:ascii="Arial" w:eastAsiaTheme="minorHAnsi" w:hAnsi="Arial" w:cstheme="minorBidi"/>
      <w:lang w:eastAsia="en-US"/>
    </w:rPr>
  </w:style>
  <w:style w:type="character" w:styleId="FootnoteReference">
    <w:name w:val="footnote reference"/>
    <w:basedOn w:val="DefaultParagraphFont"/>
    <w:uiPriority w:val="99"/>
    <w:unhideWhenUsed/>
    <w:rsid w:val="00F37387"/>
    <w:rPr>
      <w:vertAlign w:val="superscript"/>
    </w:rPr>
  </w:style>
  <w:style w:type="character" w:styleId="CommentReference">
    <w:name w:val="annotation reference"/>
    <w:basedOn w:val="DefaultParagraphFont"/>
    <w:rsid w:val="00565B0F"/>
    <w:rPr>
      <w:sz w:val="16"/>
      <w:szCs w:val="16"/>
    </w:rPr>
  </w:style>
  <w:style w:type="paragraph" w:styleId="CommentText">
    <w:name w:val="annotation text"/>
    <w:basedOn w:val="Normal"/>
    <w:link w:val="CommentTextChar"/>
    <w:rsid w:val="00565B0F"/>
    <w:rPr>
      <w:sz w:val="20"/>
      <w:szCs w:val="20"/>
    </w:rPr>
  </w:style>
  <w:style w:type="character" w:customStyle="1" w:styleId="CommentTextChar">
    <w:name w:val="Comment Text Char"/>
    <w:basedOn w:val="DefaultParagraphFont"/>
    <w:link w:val="CommentText"/>
    <w:rsid w:val="00565B0F"/>
    <w:rPr>
      <w:lang w:eastAsia="en-US"/>
    </w:rPr>
  </w:style>
  <w:style w:type="paragraph" w:styleId="CommentSubject">
    <w:name w:val="annotation subject"/>
    <w:basedOn w:val="CommentText"/>
    <w:next w:val="CommentText"/>
    <w:link w:val="CommentSubjectChar"/>
    <w:rsid w:val="00565B0F"/>
    <w:rPr>
      <w:b/>
      <w:bCs/>
    </w:rPr>
  </w:style>
  <w:style w:type="character" w:customStyle="1" w:styleId="CommentSubjectChar">
    <w:name w:val="Comment Subject Char"/>
    <w:basedOn w:val="CommentTextChar"/>
    <w:link w:val="CommentSubject"/>
    <w:rsid w:val="00565B0F"/>
    <w:rPr>
      <w:b/>
      <w:bCs/>
      <w:lang w:eastAsia="en-US"/>
    </w:rPr>
  </w:style>
  <w:style w:type="paragraph" w:styleId="Caption">
    <w:name w:val="caption"/>
    <w:basedOn w:val="Normal"/>
    <w:next w:val="Normal"/>
    <w:uiPriority w:val="35"/>
    <w:unhideWhenUsed/>
    <w:qFormat/>
    <w:rsid w:val="004A15C5"/>
    <w:pPr>
      <w:spacing w:after="80" w:line="276" w:lineRule="auto"/>
      <w:jc w:val="both"/>
    </w:pPr>
    <w:rPr>
      <w:rFonts w:ascii="Arial" w:hAnsi="Arial"/>
      <w:b/>
      <w:bCs/>
      <w:color w:val="4F81BD" w:themeColor="accent1"/>
      <w:sz w:val="22"/>
      <w:szCs w:val="18"/>
      <w:lang w:eastAsia="en-AU"/>
    </w:rPr>
  </w:style>
  <w:style w:type="character" w:customStyle="1" w:styleId="ListParagraphChar">
    <w:name w:val="List Paragraph Char"/>
    <w:aliases w:val="Bullet Point Char,Bullet point Char,Bulletr List Paragraph Char,Content descriptions Char,FooterText Char,L Char,List Bullet 1 Char,List Paragraph Number Char,List Paragraph1 Char,List Paragraph11 Char,List Paragraph2 Char"/>
    <w:basedOn w:val="DefaultParagraphFont"/>
    <w:link w:val="ListParagraph"/>
    <w:uiPriority w:val="34"/>
    <w:qFormat/>
    <w:rsid w:val="009B7DEB"/>
    <w:rPr>
      <w:sz w:val="24"/>
      <w:szCs w:val="24"/>
      <w:lang w:eastAsia="en-US"/>
    </w:rPr>
  </w:style>
  <w:style w:type="character" w:customStyle="1" w:styleId="Heading1Char">
    <w:name w:val="Heading 1 Char"/>
    <w:basedOn w:val="DefaultParagraphFont"/>
    <w:link w:val="Heading1"/>
    <w:rsid w:val="004B69D5"/>
    <w:rPr>
      <w:rFonts w:asciiTheme="minorHAnsi" w:hAnsiTheme="minorHAnsi" w:cs="Arial"/>
      <w:b/>
      <w:bCs/>
      <w:color w:val="1F497D" w:themeColor="text2"/>
      <w:kern w:val="28"/>
      <w:sz w:val="22"/>
      <w:szCs w:val="32"/>
      <w:lang w:eastAsia="en-US"/>
    </w:rPr>
  </w:style>
  <w:style w:type="character" w:customStyle="1" w:styleId="searchmatch">
    <w:name w:val="searchmatch"/>
    <w:basedOn w:val="DefaultParagraphFont"/>
    <w:rsid w:val="004818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iPriority="35" w:unhideWhenUsed="1" w:qFormat="1"/>
    <w:lsdException w:name="footnote reference" w:uiPriority="99"/>
    <w:lsdException w:name="Title" w:qFormat="1"/>
    <w:lsdException w:name="Subtitle" w:qFormat="1"/>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link w:val="Heading1Char"/>
    <w:qFormat/>
    <w:rsid w:val="008948A3"/>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aliases w:val="Bullet Point,Bullet point,Bulletr List Paragraph,Content descriptions,FooterText,L,List Bullet 1,List Paragraph Number,List Paragraph1,List Paragraph11,List Paragraph2,List Paragraph21,Listeafsnit1,NFP GP Bulleted List,Recommendation"/>
    <w:basedOn w:val="Normal"/>
    <w:link w:val="ListParagraphChar"/>
    <w:uiPriority w:val="34"/>
    <w:qFormat/>
    <w:rsid w:val="00A4512D"/>
    <w:pPr>
      <w:ind w:left="720"/>
      <w:contextualSpacing/>
    </w:pPr>
  </w:style>
  <w:style w:type="paragraph" w:styleId="Header">
    <w:name w:val="header"/>
    <w:basedOn w:val="Normal"/>
    <w:link w:val="HeaderChar"/>
    <w:uiPriority w:val="99"/>
    <w:rsid w:val="009F6FF4"/>
    <w:pPr>
      <w:tabs>
        <w:tab w:val="center" w:pos="4513"/>
        <w:tab w:val="right" w:pos="9026"/>
      </w:tabs>
    </w:pPr>
  </w:style>
  <w:style w:type="character" w:customStyle="1" w:styleId="HeaderChar">
    <w:name w:val="Header Char"/>
    <w:basedOn w:val="DefaultParagraphFont"/>
    <w:link w:val="Header"/>
    <w:uiPriority w:val="99"/>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FootnoteText">
    <w:name w:val="footnote text"/>
    <w:basedOn w:val="Normal"/>
    <w:link w:val="FootnoteTextChar"/>
    <w:uiPriority w:val="99"/>
    <w:unhideWhenUsed/>
    <w:rsid w:val="00F37387"/>
    <w:pPr>
      <w:spacing w:after="200" w:line="276" w:lineRule="auto"/>
      <w:jc w:val="both"/>
    </w:pPr>
    <w:rPr>
      <w:rFonts w:ascii="Arial" w:eastAsiaTheme="minorHAnsi" w:hAnsi="Arial" w:cstheme="minorBidi"/>
      <w:sz w:val="20"/>
      <w:szCs w:val="20"/>
    </w:rPr>
  </w:style>
  <w:style w:type="character" w:customStyle="1" w:styleId="FootnoteTextChar">
    <w:name w:val="Footnote Text Char"/>
    <w:basedOn w:val="DefaultParagraphFont"/>
    <w:link w:val="FootnoteText"/>
    <w:uiPriority w:val="99"/>
    <w:rsid w:val="00F37387"/>
    <w:rPr>
      <w:rFonts w:ascii="Arial" w:eastAsiaTheme="minorHAnsi" w:hAnsi="Arial" w:cstheme="minorBidi"/>
      <w:lang w:eastAsia="en-US"/>
    </w:rPr>
  </w:style>
  <w:style w:type="character" w:styleId="FootnoteReference">
    <w:name w:val="footnote reference"/>
    <w:basedOn w:val="DefaultParagraphFont"/>
    <w:uiPriority w:val="99"/>
    <w:unhideWhenUsed/>
    <w:rsid w:val="00F37387"/>
    <w:rPr>
      <w:vertAlign w:val="superscript"/>
    </w:rPr>
  </w:style>
  <w:style w:type="character" w:styleId="CommentReference">
    <w:name w:val="annotation reference"/>
    <w:basedOn w:val="DefaultParagraphFont"/>
    <w:rsid w:val="00565B0F"/>
    <w:rPr>
      <w:sz w:val="16"/>
      <w:szCs w:val="16"/>
    </w:rPr>
  </w:style>
  <w:style w:type="paragraph" w:styleId="CommentText">
    <w:name w:val="annotation text"/>
    <w:basedOn w:val="Normal"/>
    <w:link w:val="CommentTextChar"/>
    <w:rsid w:val="00565B0F"/>
    <w:rPr>
      <w:sz w:val="20"/>
      <w:szCs w:val="20"/>
    </w:rPr>
  </w:style>
  <w:style w:type="character" w:customStyle="1" w:styleId="CommentTextChar">
    <w:name w:val="Comment Text Char"/>
    <w:basedOn w:val="DefaultParagraphFont"/>
    <w:link w:val="CommentText"/>
    <w:rsid w:val="00565B0F"/>
    <w:rPr>
      <w:lang w:eastAsia="en-US"/>
    </w:rPr>
  </w:style>
  <w:style w:type="paragraph" w:styleId="CommentSubject">
    <w:name w:val="annotation subject"/>
    <w:basedOn w:val="CommentText"/>
    <w:next w:val="CommentText"/>
    <w:link w:val="CommentSubjectChar"/>
    <w:rsid w:val="00565B0F"/>
    <w:rPr>
      <w:b/>
      <w:bCs/>
    </w:rPr>
  </w:style>
  <w:style w:type="character" w:customStyle="1" w:styleId="CommentSubjectChar">
    <w:name w:val="Comment Subject Char"/>
    <w:basedOn w:val="CommentTextChar"/>
    <w:link w:val="CommentSubject"/>
    <w:rsid w:val="00565B0F"/>
    <w:rPr>
      <w:b/>
      <w:bCs/>
      <w:lang w:eastAsia="en-US"/>
    </w:rPr>
  </w:style>
  <w:style w:type="paragraph" w:styleId="Caption">
    <w:name w:val="caption"/>
    <w:basedOn w:val="Normal"/>
    <w:next w:val="Normal"/>
    <w:uiPriority w:val="35"/>
    <w:unhideWhenUsed/>
    <w:qFormat/>
    <w:rsid w:val="004A15C5"/>
    <w:pPr>
      <w:spacing w:after="80" w:line="276" w:lineRule="auto"/>
      <w:jc w:val="both"/>
    </w:pPr>
    <w:rPr>
      <w:rFonts w:ascii="Arial" w:hAnsi="Arial"/>
      <w:b/>
      <w:bCs/>
      <w:color w:val="4F81BD" w:themeColor="accent1"/>
      <w:sz w:val="22"/>
      <w:szCs w:val="18"/>
      <w:lang w:eastAsia="en-AU"/>
    </w:rPr>
  </w:style>
  <w:style w:type="character" w:customStyle="1" w:styleId="ListParagraphChar">
    <w:name w:val="List Paragraph Char"/>
    <w:aliases w:val="Bullet Point Char,Bullet point Char,Bulletr List Paragraph Char,Content descriptions Char,FooterText Char,L Char,List Bullet 1 Char,List Paragraph Number Char,List Paragraph1 Char,List Paragraph11 Char,List Paragraph2 Char"/>
    <w:basedOn w:val="DefaultParagraphFont"/>
    <w:link w:val="ListParagraph"/>
    <w:uiPriority w:val="34"/>
    <w:qFormat/>
    <w:rsid w:val="009B7DEB"/>
    <w:rPr>
      <w:sz w:val="24"/>
      <w:szCs w:val="24"/>
      <w:lang w:eastAsia="en-US"/>
    </w:rPr>
  </w:style>
  <w:style w:type="character" w:customStyle="1" w:styleId="Heading1Char">
    <w:name w:val="Heading 1 Char"/>
    <w:basedOn w:val="DefaultParagraphFont"/>
    <w:link w:val="Heading1"/>
    <w:rsid w:val="004B69D5"/>
    <w:rPr>
      <w:rFonts w:asciiTheme="minorHAnsi" w:hAnsiTheme="minorHAnsi" w:cs="Arial"/>
      <w:b/>
      <w:bCs/>
      <w:color w:val="1F497D" w:themeColor="text2"/>
      <w:kern w:val="28"/>
      <w:sz w:val="22"/>
      <w:szCs w:val="32"/>
      <w:lang w:eastAsia="en-US"/>
    </w:rPr>
  </w:style>
  <w:style w:type="character" w:customStyle="1" w:styleId="searchmatch">
    <w:name w:val="searchmatch"/>
    <w:basedOn w:val="DefaultParagraphFont"/>
    <w:rsid w:val="004818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224965">
      <w:bodyDiv w:val="1"/>
      <w:marLeft w:val="0"/>
      <w:marRight w:val="0"/>
      <w:marTop w:val="0"/>
      <w:marBottom w:val="0"/>
      <w:divBdr>
        <w:top w:val="none" w:sz="0" w:space="0" w:color="auto"/>
        <w:left w:val="none" w:sz="0" w:space="0" w:color="auto"/>
        <w:bottom w:val="none" w:sz="0" w:space="0" w:color="auto"/>
        <w:right w:val="none" w:sz="0" w:space="0" w:color="auto"/>
      </w:divBdr>
    </w:div>
    <w:div w:id="322970218">
      <w:bodyDiv w:val="1"/>
      <w:marLeft w:val="0"/>
      <w:marRight w:val="0"/>
      <w:marTop w:val="0"/>
      <w:marBottom w:val="0"/>
      <w:divBdr>
        <w:top w:val="none" w:sz="0" w:space="0" w:color="auto"/>
        <w:left w:val="none" w:sz="0" w:space="0" w:color="auto"/>
        <w:bottom w:val="none" w:sz="0" w:space="0" w:color="auto"/>
        <w:right w:val="none" w:sz="0" w:space="0" w:color="auto"/>
      </w:divBdr>
      <w:divsChild>
        <w:div w:id="380792116">
          <w:marLeft w:val="0"/>
          <w:marRight w:val="0"/>
          <w:marTop w:val="0"/>
          <w:marBottom w:val="0"/>
          <w:divBdr>
            <w:top w:val="none" w:sz="0" w:space="0" w:color="auto"/>
            <w:left w:val="none" w:sz="0" w:space="0" w:color="auto"/>
            <w:bottom w:val="none" w:sz="0" w:space="0" w:color="auto"/>
            <w:right w:val="none" w:sz="0" w:space="0" w:color="auto"/>
          </w:divBdr>
          <w:divsChild>
            <w:div w:id="1444108231">
              <w:marLeft w:val="0"/>
              <w:marRight w:val="0"/>
              <w:marTop w:val="0"/>
              <w:marBottom w:val="0"/>
              <w:divBdr>
                <w:top w:val="none" w:sz="0" w:space="0" w:color="auto"/>
                <w:left w:val="none" w:sz="0" w:space="0" w:color="auto"/>
                <w:bottom w:val="none" w:sz="0" w:space="0" w:color="auto"/>
                <w:right w:val="none" w:sz="0" w:space="0" w:color="auto"/>
              </w:divBdr>
              <w:divsChild>
                <w:div w:id="122160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626989">
      <w:bodyDiv w:val="1"/>
      <w:marLeft w:val="0"/>
      <w:marRight w:val="0"/>
      <w:marTop w:val="0"/>
      <w:marBottom w:val="0"/>
      <w:divBdr>
        <w:top w:val="none" w:sz="0" w:space="0" w:color="auto"/>
        <w:left w:val="none" w:sz="0" w:space="0" w:color="auto"/>
        <w:bottom w:val="none" w:sz="0" w:space="0" w:color="auto"/>
        <w:right w:val="none" w:sz="0" w:space="0" w:color="auto"/>
      </w:divBdr>
    </w:div>
    <w:div w:id="795173738">
      <w:bodyDiv w:val="1"/>
      <w:marLeft w:val="0"/>
      <w:marRight w:val="0"/>
      <w:marTop w:val="0"/>
      <w:marBottom w:val="0"/>
      <w:divBdr>
        <w:top w:val="none" w:sz="0" w:space="0" w:color="auto"/>
        <w:left w:val="none" w:sz="0" w:space="0" w:color="auto"/>
        <w:bottom w:val="none" w:sz="0" w:space="0" w:color="auto"/>
        <w:right w:val="none" w:sz="0" w:space="0" w:color="auto"/>
      </w:divBdr>
    </w:div>
    <w:div w:id="1058363392">
      <w:bodyDiv w:val="1"/>
      <w:marLeft w:val="0"/>
      <w:marRight w:val="0"/>
      <w:marTop w:val="0"/>
      <w:marBottom w:val="0"/>
      <w:divBdr>
        <w:top w:val="none" w:sz="0" w:space="0" w:color="auto"/>
        <w:left w:val="none" w:sz="0" w:space="0" w:color="auto"/>
        <w:bottom w:val="none" w:sz="0" w:space="0" w:color="auto"/>
        <w:right w:val="none" w:sz="0" w:space="0" w:color="auto"/>
      </w:divBdr>
    </w:div>
    <w:div w:id="1061251150">
      <w:bodyDiv w:val="1"/>
      <w:marLeft w:val="0"/>
      <w:marRight w:val="0"/>
      <w:marTop w:val="0"/>
      <w:marBottom w:val="0"/>
      <w:divBdr>
        <w:top w:val="none" w:sz="0" w:space="0" w:color="auto"/>
        <w:left w:val="none" w:sz="0" w:space="0" w:color="auto"/>
        <w:bottom w:val="none" w:sz="0" w:space="0" w:color="auto"/>
        <w:right w:val="none" w:sz="0" w:space="0" w:color="auto"/>
      </w:divBdr>
    </w:div>
    <w:div w:id="1114864506">
      <w:bodyDiv w:val="1"/>
      <w:marLeft w:val="0"/>
      <w:marRight w:val="0"/>
      <w:marTop w:val="0"/>
      <w:marBottom w:val="0"/>
      <w:divBdr>
        <w:top w:val="none" w:sz="0" w:space="0" w:color="auto"/>
        <w:left w:val="none" w:sz="0" w:space="0" w:color="auto"/>
        <w:bottom w:val="none" w:sz="0" w:space="0" w:color="auto"/>
        <w:right w:val="none" w:sz="0" w:space="0" w:color="auto"/>
      </w:divBdr>
    </w:div>
    <w:div w:id="1273702948">
      <w:bodyDiv w:val="1"/>
      <w:marLeft w:val="0"/>
      <w:marRight w:val="0"/>
      <w:marTop w:val="0"/>
      <w:marBottom w:val="0"/>
      <w:divBdr>
        <w:top w:val="none" w:sz="0" w:space="0" w:color="auto"/>
        <w:left w:val="none" w:sz="0" w:space="0" w:color="auto"/>
        <w:bottom w:val="none" w:sz="0" w:space="0" w:color="auto"/>
        <w:right w:val="none" w:sz="0" w:space="0" w:color="auto"/>
      </w:divBdr>
    </w:div>
    <w:div w:id="1390764837">
      <w:bodyDiv w:val="1"/>
      <w:marLeft w:val="0"/>
      <w:marRight w:val="0"/>
      <w:marTop w:val="0"/>
      <w:marBottom w:val="0"/>
      <w:divBdr>
        <w:top w:val="none" w:sz="0" w:space="0" w:color="auto"/>
        <w:left w:val="none" w:sz="0" w:space="0" w:color="auto"/>
        <w:bottom w:val="none" w:sz="0" w:space="0" w:color="auto"/>
        <w:right w:val="none" w:sz="0" w:space="0" w:color="auto"/>
      </w:divBdr>
    </w:div>
    <w:div w:id="1398430631">
      <w:bodyDiv w:val="1"/>
      <w:marLeft w:val="0"/>
      <w:marRight w:val="0"/>
      <w:marTop w:val="0"/>
      <w:marBottom w:val="0"/>
      <w:divBdr>
        <w:top w:val="none" w:sz="0" w:space="0" w:color="auto"/>
        <w:left w:val="none" w:sz="0" w:space="0" w:color="auto"/>
        <w:bottom w:val="none" w:sz="0" w:space="0" w:color="auto"/>
        <w:right w:val="none" w:sz="0" w:space="0" w:color="auto"/>
      </w:divBdr>
    </w:div>
    <w:div w:id="1543595808">
      <w:bodyDiv w:val="1"/>
      <w:marLeft w:val="0"/>
      <w:marRight w:val="0"/>
      <w:marTop w:val="0"/>
      <w:marBottom w:val="0"/>
      <w:divBdr>
        <w:top w:val="none" w:sz="0" w:space="0" w:color="auto"/>
        <w:left w:val="none" w:sz="0" w:space="0" w:color="auto"/>
        <w:bottom w:val="none" w:sz="0" w:space="0" w:color="auto"/>
        <w:right w:val="none" w:sz="0" w:space="0" w:color="auto"/>
      </w:divBdr>
    </w:div>
    <w:div w:id="1974871550">
      <w:bodyDiv w:val="1"/>
      <w:marLeft w:val="0"/>
      <w:marRight w:val="0"/>
      <w:marTop w:val="0"/>
      <w:marBottom w:val="0"/>
      <w:divBdr>
        <w:top w:val="none" w:sz="0" w:space="0" w:color="auto"/>
        <w:left w:val="none" w:sz="0" w:space="0" w:color="auto"/>
        <w:bottom w:val="none" w:sz="0" w:space="0" w:color="auto"/>
        <w:right w:val="none" w:sz="0" w:space="0" w:color="auto"/>
      </w:divBdr>
    </w:div>
    <w:div w:id="1995334331">
      <w:bodyDiv w:val="1"/>
      <w:marLeft w:val="0"/>
      <w:marRight w:val="0"/>
      <w:marTop w:val="0"/>
      <w:marBottom w:val="0"/>
      <w:divBdr>
        <w:top w:val="none" w:sz="0" w:space="0" w:color="auto"/>
        <w:left w:val="none" w:sz="0" w:space="0" w:color="auto"/>
        <w:bottom w:val="none" w:sz="0" w:space="0" w:color="auto"/>
        <w:right w:val="none" w:sz="0" w:space="0" w:color="auto"/>
      </w:divBdr>
    </w:div>
    <w:div w:id="2050255660">
      <w:bodyDiv w:val="1"/>
      <w:marLeft w:val="0"/>
      <w:marRight w:val="0"/>
      <w:marTop w:val="0"/>
      <w:marBottom w:val="0"/>
      <w:divBdr>
        <w:top w:val="none" w:sz="0" w:space="0" w:color="auto"/>
        <w:left w:val="none" w:sz="0" w:space="0" w:color="auto"/>
        <w:bottom w:val="none" w:sz="0" w:space="0" w:color="auto"/>
        <w:right w:val="none" w:sz="0" w:space="0" w:color="auto"/>
      </w:divBdr>
      <w:divsChild>
        <w:div w:id="1793013870">
          <w:marLeft w:val="0"/>
          <w:marRight w:val="0"/>
          <w:marTop w:val="0"/>
          <w:marBottom w:val="0"/>
          <w:divBdr>
            <w:top w:val="none" w:sz="0" w:space="0" w:color="auto"/>
            <w:left w:val="none" w:sz="0" w:space="0" w:color="auto"/>
            <w:bottom w:val="none" w:sz="0" w:space="0" w:color="auto"/>
            <w:right w:val="none" w:sz="0" w:space="0" w:color="auto"/>
          </w:divBdr>
          <w:divsChild>
            <w:div w:id="1384601302">
              <w:marLeft w:val="0"/>
              <w:marRight w:val="0"/>
              <w:marTop w:val="0"/>
              <w:marBottom w:val="0"/>
              <w:divBdr>
                <w:top w:val="none" w:sz="0" w:space="0" w:color="auto"/>
                <w:left w:val="none" w:sz="0" w:space="0" w:color="auto"/>
                <w:bottom w:val="none" w:sz="0" w:space="0" w:color="auto"/>
                <w:right w:val="none" w:sz="0" w:space="0" w:color="auto"/>
              </w:divBdr>
              <w:divsChild>
                <w:div w:id="137071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433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doctorconnect.gov.au/internet/otd/publishing.nsf/Content/Classification-chang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octorconnect.gov.au/internet/otd/publishing.nsf/content/ra-intro"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data.hwa.gov.au/publications.html" TargetMode="External"/><Relationship Id="rId4" Type="http://schemas.microsoft.com/office/2007/relationships/stylesWithEffects" Target="stylesWithEffects.xml"/><Relationship Id="rId9" Type="http://schemas.openxmlformats.org/officeDocument/2006/relationships/hyperlink" Target="http://www.medicalboard.gov.au/Registration/Types.aspx"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295A53-DEA4-4084-8D6D-5780112C34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8</Pages>
  <Words>2957</Words>
  <Characters>16333</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19252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12</cp:revision>
  <cp:lastPrinted>2017-10-05T01:38:00Z</cp:lastPrinted>
  <dcterms:created xsi:type="dcterms:W3CDTF">2017-10-30T00:40:00Z</dcterms:created>
  <dcterms:modified xsi:type="dcterms:W3CDTF">2017-11-02T11:14:00Z</dcterms:modified>
</cp:coreProperties>
</file>